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177 SAG — Prüfungen vor Ort nach der SRM-Verordnung</w:t>
      </w:r>
    </w:p>
    <w:p>
      <w:r>
        <w:rPr>
          <w:color w:val="555555"/>
          <w:sz w:val="18"/>
        </w:rPr>
        <w:t xml:space="preserve">Sanierungs- und Abwicklungsgesetz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Prüfungen vor Ort nach Artikel 36 der Verordnung (EU) Nr. 806/2014 durch die dort genannten Bediensteten und Personen gilt § 78 Absatz 2 bis 4 entsprechend. Der Umfang der Prüfung durch das Amtsgericht richtet sich nach Artikel 37 Absatz 2 der Verordnung (EU) Nr. 806/2014.</w:t>
      </w:r>
    </w:p>
    <w:p>
      <w:r>
        <w:rPr>
          <w:color w:val="555555"/>
          <w:sz w:val="17"/>
        </w:rPr>
        <w:t xml:space="preserve">Zitiervorschlag: § 177 SAG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https://recht.nulegal.eu/gesetze/SAG/177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