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172a SAG — Bußgeldvorschriften zur Verordnung (EU) 2021/23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(1) Ordnungswidrig handelt, wer gegen die Verordnung (EU) 2021/23 des Europäischen Parlaments und des Rates vom 16. Dezember 2020 über einen Rahmen für die Sanierung und Abwicklung zentraler Gegenparteien und zur Änderung der Verordnungen (EU) Nr. 1095/2010, (EU) Nr. 648/2012, (EU) Nr. 600/2014, (EU) Nr. 806/2014 und (EU) 2015/2365 sowie der Richtlinien 2002/47/EG, 2004/25/EG, 2007/36/EG, 2014/59/EU und (EU) 2017/1132 (ABl. L 22 vom 22.1.2021, S. 1) verstößt, indem er vorsätzlich oder fahrlässig</w:t>
      </w:r>
    </w:p>
    <w:p>
      <w:pPr>
        <w:ind w:left="420"/>
      </w:pPr>
      <w:r>
        <w:t xml:space="preserve">1. entgegen Artikel 9 Absatz 1 einen Sanierungsplan nicht oder nicht rechtzeitig erstellt oder nicht oder nicht mindestens einmal jährlich aktualisiert,</w:t>
      </w:r>
    </w:p>
    <w:p>
      <w:pPr>
        <w:ind w:left="420"/>
      </w:pPr>
      <w:r>
        <w:t xml:space="preserve">2. entgegen Artikel 9 Absatz 6 Unterabsatz 2 oder Artikel 70 Absatz 1 eine Mitteilung nicht, nicht richtig, nicht vollständig oder nicht rechtzeitig macht,</w:t>
      </w:r>
    </w:p>
    <w:p>
      <w:pPr>
        <w:ind w:left="420"/>
      </w:pPr>
      <w:r>
        <w:t xml:space="preserve">3. einer vollziehbaren Anordnung nach Artikel 9 Absatz 7 Unterabsatz 2 oder Artikel 13 Absatz 2 zuwiderhandelt,</w:t>
      </w:r>
    </w:p>
    <w:p>
      <w:pPr>
        <w:ind w:left="420"/>
      </w:pPr>
      <w:r>
        <w:t xml:space="preserve">4. entgegen Artikel 13 Absatz 1 Unterabsatz 1 eine Information nicht oder nicht rechtzeitig übermittelt oder</w:t>
      </w:r>
    </w:p>
    <w:p>
      <w:pPr>
        <w:ind w:left="420"/>
      </w:pPr>
      <w:r>
        <w:t xml:space="preserve">5. entgegen Artikel 13 Absatz 3 Satz 1 eine Information nicht oder nicht rechtzeitig austauscht.</w:t>
      </w:r>
    </w:p>
    <w:p>
      <w:r>
        <w:t xml:space="preserve">(2) Die Ordnungswidrigkeit kann mit einer Geldbuße bis zu fünf Millionen Euro geahndet werden.</w:t>
      </w:r>
    </w:p>
    <w:p>
      <w:r>
        <w:t xml:space="preserve">(3) Bei einer juristischen Person oder Personenvereinigung kann die Ordnungswidrigkeit mit einer Geldbuße bis zu 10 Prozent des jährlichen Gesamtumsatzes der juristischen Person oder Personenvereinigung im vorangegangenen Geschäftsjahr geahndet werden.</w:t>
      </w:r>
    </w:p>
    <w:p>
      <w:r>
        <w:t xml:space="preserve">(4) Die Ordnungswidrigkeit kann über Absatz 2 oder 3 hinaus mit einer Geldbuße bis zum Zweifachen des aus der Zuwiderhandlung gezogenen Nutzens geahndet werden, sofern sich dieser beziffern lässt.</w:t>
      </w:r>
    </w:p>
    <w:p>
      <w:r>
        <w:t xml:space="preserve">(5) Handelt es sich im Falle von Absatz 3 bei der juristischen Person oder Personenvereinigung um das Tochterunternehmen eines Mutterunternehmens im Sinne von Artikel 2 Nummer 13 der Verordnung (EU) 2021/23, so bezeichnet Gesamtumsatz den Umsatz, der im vorangegangenen Geschäftsjahr im konsolidierten Abschluss des obersten Mutterunternehmens ausgewiesen ist.</w:t>
      </w:r>
    </w:p>
    <w:p>
      <w:r>
        <w:rPr>
          <w:color w:val="555555"/>
          <w:sz w:val="17"/>
        </w:rPr>
        <w:t xml:space="preserve">Zitiervorschlag: § 172a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https://recht.nulegal.eu/gesetze/SAG/172a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