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SAG — Bußgeldvorschriften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Ordnungswidrig handelt, wer vorsätzlich oder fahrlässig</w:t>
      </w:r>
    </w:p>
    <w:p>
      <w:pPr>
        <w:ind w:left="420"/>
      </w:pPr>
      <w:r>
        <w:t xml:space="preserve">1. einer vollziehbaren Anordnung nach § 12 Absatz 3 Satz 1 zuwiderhandelt,</w:t>
      </w:r>
    </w:p>
    <w:p>
      <w:pPr>
        <w:ind w:left="420"/>
      </w:pPr>
      <w:r>
        <w:t xml:space="preserve">2. entgegen § 12 Absatz 4 Satz 1 einen aktualisierten Sanierungsplan nicht, nicht richtig, nicht vollständig oder nicht rechtzeitig übermittelt,</w:t>
      </w:r>
    </w:p>
    <w:p>
      <w:pPr>
        <w:ind w:left="420"/>
      </w:pPr>
      <w:r>
        <w:t xml:space="preserve">3. einer vollziehbaren Anordnung nach § 12 Absatz 4 Satz 2 zuwiderhandelt,</w:t>
      </w:r>
    </w:p>
    <w:p>
      <w:pPr>
        <w:ind w:left="420"/>
      </w:pPr>
      <w:r>
        <w:t xml:space="preserve">4. entgegen § 32 Absatz 1 eine Anzeige nicht, nicht richtig, nicht vollständig oder nicht rechtzeitig erstattet,</w:t>
      </w:r>
    </w:p>
    <w:p>
      <w:pPr>
        <w:ind w:left="420"/>
      </w:pPr>
      <w:r>
        <w:t xml:space="preserve">5. einer vollziehbaren Anordnung nach</w:t>
      </w:r>
    </w:p>
    <w:p>
      <w:pPr>
        <w:ind w:left="780"/>
      </w:pPr>
      <w:r>
        <w:t xml:space="preserve">a) § 42 Absatz 1 Satz 2 oder Satz 3 oder</w:t>
      </w:r>
    </w:p>
    <w:p>
      <w:pPr>
        <w:ind w:left="780"/>
      </w:pPr>
      <w:r>
        <w:t xml:space="preserve">b) § 42 Absatz 3 Satz 1 Nummer 1,</w:t>
      </w:r>
    </w:p>
    <w:p>
      <w:pPr>
        <w:ind w:left="420"/>
      </w:pPr>
      <w:r>
        <w:t xml:space="preserve">jeweils auch in Verbindung mit § 47 Absatz 1, zuwiderhandelt,</w:t>
      </w:r>
    </w:p>
    <w:p>
      <w:pPr>
        <w:ind w:left="420"/>
      </w:pPr>
      <w:r>
        <w:t xml:space="preserve">6. entgegen § 45 Absatz 1 Satz 1 in Verbindung mit einer Rechtsverordnung nach § 45 Absatz 2 eine Mitteilung nicht, nicht richtig, nicht vollständig oder nicht rechtzeitig macht,</w:t>
      </w:r>
    </w:p>
    <w:p>
      <w:pPr>
        <w:ind w:left="420"/>
      </w:pPr>
      <w:r>
        <w:t xml:space="preserve">7. einer vollziehbaren Anordnung nach § 45 Absatz 1 Satz 2 zuwiderhandelt,</w:t>
      </w:r>
    </w:p>
    <w:p>
      <w:pPr>
        <w:ind w:left="420"/>
      </w:pPr>
      <w:r>
        <w:t xml:space="preserve">8. einer vollziehbaren Anordnung nach § 49 Absatz 1 zuwiderhandelt oder</w:t>
      </w:r>
    </w:p>
    <w:p>
      <w:pPr>
        <w:ind w:left="420"/>
      </w:pPr>
      <w:r>
        <w:t xml:space="preserve">9. entgegen § 138 Absatz 1 eine dort genannte Behörde nicht, nicht richtig oder nicht rechtzeitig informiert.</w:t>
      </w:r>
    </w:p>
    <w:p>
      <w:r>
        <w:t xml:space="preserve">(2) Die Ordnungswidrigkeit kann</w:t>
      </w:r>
    </w:p>
    <w:p>
      <w:pPr>
        <w:ind w:left="420"/>
      </w:pPr>
      <w:r>
        <w:t xml:space="preserve">1. in den Fällen des Absatzes 1 Nummer 1, 2, 3, 4, 5 Buchstabe a, Nummer 8 oder Nummer 9 mit einer Geldbuße in Höhe von bis zu fünf Millionen Euro,</w:t>
      </w:r>
    </w:p>
    <w:p>
      <w:pPr>
        <w:ind w:left="420"/>
      </w:pPr>
      <w:r>
        <w:t xml:space="preserve">2. in den Fällen des Absatzes 1 Nummer 5 Buchstabe b mit einer Geldbuße in Höhe von bis zu einer Million Euro und</w:t>
      </w:r>
    </w:p>
    <w:p>
      <w:pPr>
        <w:ind w:left="420"/>
      </w:pPr>
      <w:r>
        <w:t xml:space="preserve">3. in den Fällen des Absatzes 1 Nummer 6 und 7 mit einer Geldbuße in Höhe von bis zu zweihunderttausend Euro</w:t>
      </w:r>
    </w:p>
    <w:p>
      <w:r>
        <w:t xml:space="preserve">geahndet werden. § 30 Absatz 2 Satz 3 des Gesetzes über Ordnungswidrigkeiten ist anzuwenden.</w:t>
      </w:r>
    </w:p>
    <w:p>
      <w:r>
        <w:t xml:space="preserve">(3) Die Geldbuße soll den wirtschaftlichen Vorteil, den der Täter aus der Ordnungswidrigkeit gezogen hat, übersteigen. Reicht das Höchstmaß nach Absatz 2 Satz 1 hierzu nicht aus, so kann es für juristische Personen oder Personenvereinigungen bis zu einem Betrag in folgender Höhe überschritten werden:</w:t>
      </w:r>
    </w:p>
    <w:p>
      <w:pPr>
        <w:ind w:left="420"/>
      </w:pPr>
      <w:r>
        <w:t xml:space="preserve">1. 10 Prozent des Jahresnettoumsatzes im Sinne des Absatzes 4 des Unternehmens im Geschäftsjahr, das der Ordnungswidrigkeit vorausgeht, oder</w:t>
      </w:r>
    </w:p>
    <w:p>
      <w:pPr>
        <w:ind w:left="420"/>
      </w:pPr>
      <w:r>
        <w:t xml:space="preserve">2. das Zweifache des durch die Zuwiderhandlung erlangten Mehrerlöses.</w:t>
      </w:r>
    </w:p>
    <w:p>
      <w:r>
        <w:t xml:space="preserve">§ 17 Absatz 4 des Gesetzes über Ordnungswidrigkeiten bleibt unberührt.</w:t>
      </w:r>
    </w:p>
    <w:p>
      <w:r>
        <w:t xml:space="preserve">(4) Der Jahresnettoumsatz im Sinne des Absatzes 3 Satz 2 Nummer 1 ist der Gesamtbetrag der in § 34 Absatz 2 Satz 1 Nummer 1 Buchstabe a bis e der Kreditinstituts-Rechnungslegungsverordnung in der jeweils geltenden Fassung genannten Erträge einschließlich der Bruttoerträge bestehend aus Zinserträgen und ähnlichen Erträgen, Erträgen aus Aktien, anderen Anteilsrechten und nicht festverzinslichen beziehungsweise festverzinslichen Wertpapieren sowie Erträgen aus Provisionen und Gebühren wie in Artikel 316 der Verordnung (EU) Nr. 575/2013 ausgeführt, abzüglich der Umsatzsteuer und sonstiger direkt auf diese Erträge erhobener Steuern. Handelt es sich bei dem Unternehmen um ein Tochterunternehmen, ist auf den Jahresnettoumsatz abzustellen, der im vorangegangenen Geschäftsjahr im konsolidierten Abschluss des Mutterunternehmens an der Spitze der Gruppe ausgewiesen ist.</w:t>
      </w:r>
    </w:p>
    <w:p>
      <w:r>
        <w:rPr>
          <w:color w:val="555555"/>
          <w:sz w:val="17"/>
        </w:rPr>
        <w:t xml:space="preserve">Zitiervorschlag: § 172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