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 SAG — Abwicklung von inländischen Unionszweigstellen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Wenn eine inländische Unionszweigstelle entweder keinem Drittstaatsabwicklungsverfahren unterliegt oder wenn die inländische Unionszweigstelle einem Drittstaatsabwicklungsverfahren unterliegt und gleichzeitig einer der Umstände gemäß § 170 vorliegt, kann die Abwicklungsbehörde in Bezug auf diese Unionszweigstelle eine Abwicklungsmaßnahme treffen, wenn sie der Auffassung ist, dass die Abwicklungsmaßnahme im öffentlichen Interesse erforderlich ist und wenn gleichzeitig mindestens eine der folgenden Voraussetzungen erfüllt ist:</w:t>
      </w:r>
    </w:p>
    <w:p>
      <w:pPr>
        <w:ind w:left="420"/>
      </w:pPr>
      <w:r>
        <w:t xml:space="preserve">1. die inländische Unionszweigstelle erfüllt nicht mehr oder erfüllt nach Auffassung der Abwicklungsbehörde wahrscheinlich nicht mehr die nach deutschem Recht geltenden Voraussetzungen für ihre Zulassung und die Ausübung ihrer Geschäftstätigkeit und es besteht keine Aussicht, dass eine Maßnahme des privaten Sektors, der Aufsichtsbehörde oder des Drittstaats, in dem das übergeordnete Unternehmen seinen Sitz hat, bewirkt, dass die Voraussetzungen innerhalb eines vertretbaren Zeitrahmens wieder erfüllt werden;</w:t>
      </w:r>
    </w:p>
    <w:p>
      <w:pPr>
        <w:ind w:left="420"/>
      </w:pPr>
      <w:r>
        <w:t xml:space="preserve">2. das Drittstaatsinstitut ist nach Auffassung der Abwicklungsbehörde nicht in der Lage, wahrscheinlich nicht in der Lage oder nicht dazu bereit, seinen finanziellen Verpflichtungen gegenüber Gläubigern mit Sitz oder Wohnsitz im Inland oder den von der Unionszweigstelle eingegangenen oder von der Unionszweigstelle verbuchten Verpflichtungen bei Fälligkeit nachzukommen, und die Abwicklungsbehörde geht davon aus, dass in Bezug auf das Drittstaatsinstitut kein Drittstaatsabwicklungs- oder -insolvenzverfahren eingeleitet wurde oder in einem vertretbaren Zeitrahmen eingeleitet wird;</w:t>
      </w:r>
    </w:p>
    <w:p>
      <w:pPr>
        <w:ind w:left="420"/>
      </w:pPr>
      <w:r>
        <w:t xml:space="preserve">3. die Drittstaatsbehörde hat in Bezug auf das Drittstaatsinstitut ein Drittstaatsabwicklungsverfahren eingeleitet oder die Abwicklungsbehörde über ihre Absicht, ein solches Drittstaatsabwicklungsverfahren einzuleiten, in Kenntnis gesetzt.</w:t>
      </w:r>
    </w:p>
    <w:p>
      <w:r>
        <w:t xml:space="preserve">(2) Trifft die Abwicklungsbehörde eine Abwicklungsmaßnahme in Bezug auf eine inländische Unionszweigstelle, so hat sie dabei den Abwicklungszielen Rechnung zu tragen und hat diese Abwicklungsmaßnahme im Einklang mit den in § 68 festgelegten Grundsätzen sowie den Anforderungen im Zusammenhang mit den Abwicklungsinstrumenten zu treffen, soweit diese Grundsätze oder Anforderungen für die fragliche Abwicklungsmaßnahme einschlägig sind.</w:t>
      </w:r>
    </w:p>
    <w:p>
      <w:r>
        <w:rPr>
          <w:color w:val="555555"/>
          <w:sz w:val="17"/>
        </w:rPr>
        <w:t xml:space="preserve">Zitiervorschlag: § 171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