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170 SAG — Recht auf Verweigerung der Anerkennung oder Durchsetzung von Drittstaatsabwicklungsverfahren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Konsultation der betroffenen Abwicklungsbehörden der anderen Mitgliedstaaten des europäischen Abwicklungskollegiums gemäß § 159 kann die Abwicklungsbehörde die Anerkennung oder Durchsetzung der Drittstaatsabwicklungsverfahren verweigern, wenn sie der Auffassung ist, dass</w:t>
      </w:r>
    </w:p>
    <w:p>
      <w:pPr>
        <w:ind w:left="420"/>
      </w:pPr>
      <w:r>
        <w:t xml:space="preserve">1. sich das betreffende Drittstaatsabwicklungsverfahren negativ auf die nationale Finanzstabilität auswirken würde oder dass sich das Verfahren negativ auf die Finanzstabilität in einem anderen Mitgliedstaat auswirken würde,</w:t>
      </w:r>
    </w:p>
    <w:p>
      <w:pPr>
        <w:ind w:left="420"/>
      </w:pPr>
      <w:r>
        <w:t xml:space="preserve">2. unabhängige Abwicklungsmaßnahmen gemäß § 171 in Bezug auf eine inländische Unionszweigstelle erforderlich sind, um eines oder mehrere der Abwicklungsziele zu erreichen,</w:t>
      </w:r>
    </w:p>
    <w:p>
      <w:pPr>
        <w:ind w:left="420"/>
      </w:pPr>
      <w:r>
        <w:t xml:space="preserve">3. Gläubiger, insbesondere Einleger, die in einem Mitgliedstaat ansässig oder auszuzahlen sind, im Rahmen des Drittstaatsabwicklungsverfahrens keine Gleichbehandlung mit Drittstaatsgläubigern und -anlegern mit gleichartigen rechtlichen Interessen genießen würden,</w:t>
      </w:r>
    </w:p>
    <w:p>
      <w:pPr>
        <w:ind w:left="420"/>
      </w:pPr>
      <w:r>
        <w:t xml:space="preserve">4. die Anerkennung oder Durchsetzung des Drittstaatsabwicklungsverfahrens erhebliche haushaltspolitische Auswirkungen haben würde oder</w:t>
      </w:r>
    </w:p>
    <w:p>
      <w:pPr>
        <w:ind w:left="420"/>
      </w:pPr>
      <w:r>
        <w:t xml:space="preserve">5. die Auswirkungen dieser Anerkennung oder Durchsetzung im Widerspruch zu nationalem Recht oder nach Auslegung im Sinne dieses Gesetzes im Widerspruch zu geschlossenen bilateralen Abkommen stehen würden.</w:t>
      </w:r>
    </w:p>
    <w:p>
      <w:r>
        <w:rPr>
          <w:color w:val="555555"/>
          <w:sz w:val="17"/>
        </w:rPr>
        <w:t xml:space="preserve">Zitiervorschlag: § 170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