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SAG — Verfahren bei Gruppensanierungsplänen und Mängeln von Gruppensanierungsplänen, wenn die Aufsichtsbehörde zugleich konsolidierende Aufsichtsbehörde ist</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Ist die Aufsichtsbehörde zugleich die konsolidierende Aufsichtsbehörde, übermittelt sie die Gruppensanierungspläne an</w:t>
      </w:r>
    </w:p>
    <w:p>
      <w:pPr>
        <w:ind w:left="420"/>
      </w:pPr>
      <w:r>
        <w:t xml:space="preserve">1. die Aufsichtsbehörden der Mitgliedstaaten, in denen sich Tochterunternehmen befinden;</w:t>
      </w:r>
    </w:p>
    <w:p>
      <w:pPr>
        <w:ind w:left="420"/>
      </w:pPr>
      <w:r>
        <w:t xml:space="preserve">2. die Aufsichtsbehörden der Mitgliedstaaten, in denen sich bedeutende Zweigniederlassungen befinden, sofern der Gruppensanierungsplan für die bedeutende Zweigniederlassung von Belang ist;</w:t>
      </w:r>
    </w:p>
    <w:p>
      <w:pPr>
        <w:ind w:left="420"/>
      </w:pPr>
      <w:r>
        <w:t xml:space="preserve">3. die Abwicklungsbehörde;</w:t>
      </w:r>
    </w:p>
    <w:p>
      <w:pPr>
        <w:ind w:left="420"/>
      </w:pPr>
      <w:r>
        <w:t xml:space="preserve">4. die Abwicklungsbehörden der Mitgliedstaaten, in denen sich Tochterunternehmen befinden.</w:t>
      </w:r>
    </w:p>
    <w:p>
      <w:r>
        <w:t xml:space="preserve">Eine Übermittlung an eine Behörde in einem Mitgliedstaat erfolgt nur, soweit sichergestellt ist, dass von dieser Behörde den §§ 4 bis 10 entsprechende Anforderungen an die Geheimhaltung eingehalten werden.</w:t>
      </w:r>
    </w:p>
    <w:p>
      <w:r>
        <w:t xml:space="preserve">(2) Nach Abstimmung mit den im relevanten Aufsichtskollegium vertretenen Aufsichtsbehörden und mit den Aufsichtsbehörden der bedeutenden Zweigniederlassungen, soweit die bedeutenden Zweigniederlassungen vom Gruppensanierungsplan betroffen sind, bemüht sich die Aufsichtsbehörde, innerhalb von vier Monaten nach Übermittlung des Gruppensanierungsplans gemäß Absatz 1 mit den Aufsichtsbehörden der Tochterunternehmen eine gemeinsame Entscheidung zu treffen über</w:t>
      </w:r>
    </w:p>
    <w:p>
      <w:pPr>
        <w:ind w:left="420"/>
      </w:pPr>
      <w:r>
        <w:t xml:space="preserve">1. die Bewertung des Gruppensanierungsplans,</w:t>
      </w:r>
    </w:p>
    <w:p>
      <w:pPr>
        <w:ind w:left="420"/>
      </w:pPr>
      <w:r>
        <w:t xml:space="preserve">2. die Notwendigkeit der Erstellung eines Sanierungsplans auf Einzelbasis für Institute, die Teil der Gruppe sind, und</w:t>
      </w:r>
    </w:p>
    <w:p>
      <w:pPr>
        <w:ind w:left="420"/>
      </w:pPr>
      <w:r>
        <w:t xml:space="preserve">3. die Anwendung der Maßnahmen nach § 16.</w:t>
      </w:r>
    </w:p>
    <w:p>
      <w:r>
        <w:t xml:space="preserve">Die Aufsichtsbehörde kann die Europäische Bankenaufsichtsbehörde gemäß Artikel 31 der Verordnung (EU) Nr. 1093/2010 in der Fassung vom 8. Oktober 2025 um Unterstützung bei der Erzielung einer Einigung ersuchen. Soweit einzelne betroffene Aufsichtsbehörden einer gemeinsamen Entscheidung nach Satz 1 nicht zustimmen, kann die Aufsichtsbehörde mit den übrigen betroffenen Aufsichtsbehörden eine gemeinsame Entscheidung treffen.</w:t>
      </w:r>
    </w:p>
    <w:p>
      <w:r>
        <w:t xml:space="preserve">(3) Soweit die Aufsichtsbehörde und die anderen betroffenen Aufsichtsbehörden innerhalb von vier Monaten keine gemeinsame Entscheidung gemäß Absatz 2 erreichen, trifft die Aufsichtsbehörde die Entscheidung nach Absatz 2 allein. Die Aufsichtsbehörde trägt bei ihrer Entscheidung den von den anderen betroffenen Aufsichtsbehörden innerhalb der Viermonatsfrist geäußerten Standpunkten und Vorbehalten Rechnung. Sie teilt die Entscheidung dem übergeordneten Unternehmen und den anderen betroffenen Aufsichtsbehörden mit.</w:t>
      </w:r>
    </w:p>
    <w:p>
      <w:r>
        <w:t xml:space="preserve">(4) Die Aufsichtsbehörde trifft ihre Entscheidung im Einklang mit dem Beschluss der Europäischen Bankenaufsichtsbehörde nach Artikel 19 Absatz 3 der Verordnung (EU) Nr. 1093/2010, sofern bis zum Ablauf der Viermonatsfrist eine der betroffenen Aufsichtsbehörden gemäß Artikel 19 der Verordnung (EU) Nr. 1093/2010 die Europäische Bankenaufsichtsbehörde mit einer der Angelegenheiten, die in Absatz 2 Satz 1 Nummer 1 oder, soweit Maßnahmen nach § 16 Absatz 5 Satz 1 Nummer 1, 2 und 4 betroffen sind, in Absatz 2 Satz 1 Nummer 3 genannt sind, befasst. Fasst die Europäische Bankenaufsichtsbehörde innerhalb eines Monats keinen Beschluss, so gilt Absatz 3 entsprechend.</w:t>
      </w:r>
    </w:p>
    <w:p>
      <w:r>
        <w:rPr>
          <w:color w:val="555555"/>
          <w:sz w:val="17"/>
        </w:rPr>
        <w:t xml:space="preserve">Zitiervorschlag: § 17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