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 SAG — Gruppenabwicklung im Fall eines EU-Mutterunternehmens</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Gelangt die Abwicklungsbehörde zu der Einschätzung, dass ein übergeordnetes Unternehmen, welches gleichzeitig ein EU-Mutterunternehmen ist, die Voraussetzungen des § 62 oder des § 64 erfüllt, übermittelt sie unverzüglich die in § 161 genannten Informationen zu diesem übergeordneten Unternehmen an die anderen Mitglieder des für die betreffende Gruppe zuständigen Abwicklungskollegiums. Die Abwicklungsmaßnahmen oder Insolvenzmaßnahmen gemäß § 161 Nummer 2 können auch die Umsetzung eines gemäß § 164 ausgearbeiteten Gruppenabwicklungskonzepts umfassen, wenn</w:t>
      </w:r>
    </w:p>
    <w:p>
      <w:pPr>
        <w:ind w:left="420"/>
      </w:pPr>
      <w:r>
        <w:t xml:space="preserve">1. es auf Grund von gemäß § 161 Nummer 2 mitgeteilten Abwicklungsmaßnahmen oder sonstigen Maßnahmen auf Ebene des übergeordneten Unternehmens im Sinne des Absatzes 1 Satz 1 wahrscheinlich ist, dass die Voraussetzungen des § 62 oder § 64 in Bezug auf ein Unternehmen der Gruppe in einem der anderen Mitgliedstaaten erfüllt werden;</w:t>
      </w:r>
    </w:p>
    <w:p>
      <w:pPr>
        <w:ind w:left="420"/>
      </w:pPr>
      <w:r>
        <w:t xml:space="preserve">2. Abwicklungsmaßnahmen oder sonstige Maßnahmen auf Ebene des übergeordneten Unternehmens im Sinne des Absatzes 1 Satz 1 nicht ausreichen, um die Lage zu stabilisieren oder voraussichtlich nicht zu einem zufriedenstellenden Ergebnis führen;</w:t>
      </w:r>
    </w:p>
    <w:p>
      <w:pPr>
        <w:ind w:left="420"/>
      </w:pPr>
      <w:r>
        <w:t xml:space="preserve">3. gemäß einer Feststellung der für sie zuständigen Abwicklungsbehörden in anderen Mitgliedstaaten ein oder mehrere Tochterunternehmen die Voraussetzungen des § 62 oder § 64 erfüllen oder</w:t>
      </w:r>
    </w:p>
    <w:p>
      <w:pPr>
        <w:ind w:left="420"/>
      </w:pPr>
      <w:r>
        <w:t xml:space="preserve">4. Abwicklungsmaßnahmen oder sonstige Maßnahmen auf Ebene des übergeordneten Unternehmens im Sinne des Absatzes 1 Satz 1 für die Tochterunternehmen der Gruppe so vorteilhaft sind, dass ein Gruppenabwicklungskonzept anzuwenden ist.</w:t>
      </w:r>
    </w:p>
    <w:p>
      <w:r>
        <w:t xml:space="preserve">(2) Umfassen die von der Abwicklungsbehörde gemäß Absatz 1 mitgeteilten Maßnahmen kein Gruppenabwicklungskonzept, so trifft die Abwicklungsbehörde ihre Entscheidung im Benehmen mit den Mitgliedern des Abwicklungskollegiums. Bei ihrer Entscheidung befolgt die Abwicklungsbehörde die jeweiligen Abwicklungspläne, wenn sie nicht nach der Bewertung der Umstände des Einzelfalls zu dem Ergebnis kommt, dass die Abwicklungsziele wirksamer durch Maßnahmen erreicht werden können, die nicht im Abwicklungsplan vorgesehen sind, und berücksichtigt die Finanzstabilität der betreffenden Mitgliedstaaten.</w:t>
      </w:r>
    </w:p>
    <w:p>
      <w:r>
        <w:t xml:space="preserve">(3) Umfassen die gemäß Absatz 1 mitgeteilten Maßnahmen ein Gruppenabwicklungskonzept, so ist das Gruppenabwicklungskonzept Gegenstand einer gemeinsamen Entscheidung der Abwicklungsbehörde und der für die Tochterunternehmen, die von dem Gruppenabwicklungskonzept erfasst sind, zuständigen Abwicklungsbehörden anderer Mitgliedstaaten. Stimmen nicht alle Abwicklungsbehörden im Sinne des Satzes 1 dem Gruppenabwicklungskonzept zu, kann die Abwicklungsbehörde mit den übrigen Abwicklungsbehörden der anderen Mitgliedstaaten eine gemeinsame Entscheidung über ein Gruppenabwicklungskonzept für die ihrer Rechtshoheit unterliegenden Institute und Unternehmen der Gruppe treffen. Auf Anfrage einer Aufsichtsbehörde kann die Europäische Bankenaufsichtsbehörde die zuständigen Abwicklungsbehörden bei dem Erreichen einer gemeinsamen Entscheidung in Übereinstimmung mit Artikel 31 Buchstabe c der Verordnung (EU) Nr. 1093/2010 unterstützen.</w:t>
      </w:r>
    </w:p>
    <w:p>
      <w:r>
        <w:t xml:space="preserve">(4) Wird ein Gruppenabwicklungskonzept nicht umgesetzt und trifft die Abwicklungsbehörde Abwicklungsmaßnahmen in Bezug auf ein Unternehmen im Sinne des Absatzes 1, so hat sie mit den Abwicklungsbehörden der anderen Mitgliedstaaten innerhalb des betreffenden Abwicklungskollegiums eng zusammenzuarbeiten, um eine koordinierte Abwicklungsstrategie für alle betroffenen Institute und Unternehmen der Gruppe zu entwickeln. Sie hat die Mitglieder des Abwicklungskollegiums regelmäßig und umfassend über die getroffenen Abwicklungsmaßnahmen und die laufenden Fortschritte zu unterrichten.</w:t>
      </w:r>
    </w:p>
    <w:p>
      <w:r>
        <w:t xml:space="preserve">(5) Die Abwicklungsbehörde führt alle Maßnahmen gemäß dieser Vorschrift unverzüglich und unter gebührender Berücksichtigung der gebotenen Dringlichkeit durch.</w:t>
      </w:r>
    </w:p>
    <w:p>
      <w:r>
        <w:rPr>
          <w:color w:val="555555"/>
          <w:sz w:val="17"/>
        </w:rPr>
        <w:t xml:space="preserve">Zitiervorschlag: § 166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