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162 SAG — Vorgehen, wenn die Abwicklungsbehörde nicht die für die Gruppenabwicklung zuständige Behörde ist</w:t>
      </w:r>
    </w:p>
    <w:p>
      <w:r>
        <w:rPr>
          <w:color w:val="555555"/>
          <w:sz w:val="18"/>
        </w:rPr>
        <w:t xml:space="preserve">Sanierungs- und Abwicklungsgesetz</w:t>
      </w:r>
    </w:p>
    <w:p>
      <w:r>
        <w:rPr>
          <w:color w:val="555555"/>
          <w:sz w:val="18"/>
        </w:rPr>
        <w:t xml:space="preserve">Stand: 10.06.2019 (konsolidierte Textfassung, kein amtliches Inkrafttretensdatum)</w:t>
      </w:r>
    </w:p>
    <w:p>
      <w:r>
        <w:t xml:space="preserve">(1) Ist die Abwicklungsbehörde nicht die für die Gruppenabwicklung zuständige Behörde, so kann sie die nach § 161 Nummer 2 mitgeteilten Abwicklungsmaßnahmen treffen oder den Antrag auf Eröffnung eines Insolvenzverfahrens über das Vermögen des betreffenden Instituts oder gruppenangehörigen Unternehmens stellen, wenn</w:t>
      </w:r>
    </w:p>
    <w:p>
      <w:pPr>
        <w:ind w:left="420"/>
      </w:pPr>
      <w:r>
        <w:t xml:space="preserve">1. die für die Gruppenabwicklung zuständige Behörde nach Anhörung der Abwicklungsbehörde und der übrigen Mitglieder des Abwicklungskollegiums zu der Einschätzung gelangt, dass die ihr nach § 161 Nummer 2 mitgeteilten Abwicklungsmaßnahmen oder Insolvenzmaßnahmen nicht erwarten lassen, dass die Voraussetzungen gemäß § 62 oder § 64 in Bezug auf ein Institut oder Unternehmen der Gruppe in einem anderen Mitgliedstaat erfüllt werden, oder</w:t>
      </w:r>
    </w:p>
    <w:p>
      <w:pPr>
        <w:ind w:left="420"/>
      </w:pPr>
      <w:r>
        <w:t xml:space="preserve">2. die für die Gruppenabwicklung zuständige Behörde innerhalb von 24 Stunden oder eines vereinbarten längeren Zeitraums nach Erhalt der Mitteilung gemäß § 161 nicht zu einer Einschätzung nach Nummer 1 gelangt.</w:t>
      </w:r>
    </w:p>
    <w:p>
      <w:r>
        <w:t xml:space="preserve">(2) Ist die Abwicklungsbehörde mit einem Gruppenabwicklungskonzept im Sinne des § 164, das von der für die Gruppenabwicklung zuständigen Behörde vorgeschlagen wurde, nicht einverstanden oder ist sie der Auffassung, dass sie aus Gründen der Finanzstabilität andere Abwicklungsmaßnahmen oder Maßnahmen als die in dem Gruppenabwicklungskonzept vorgeschlagenen in Bezug auf ein Institut oder ein Unternehmen im Sinne des § 161 ergreifen muss, muss sie detailliert begründen, warum sie nicht mit dem Gruppenabwicklungskonzept einverstanden ist, die für die Gruppenabwicklung zuständige Behörde und die Abwicklungsbehörden anderer Mitgliedstaaten die von dem Gruppenabwicklungskonzept erfasst sind, über die Gründe unterrichten und ihnen mitteilen, welche Maßnahmen sie ergreifen wird. Bei der Begründung, warum sie nicht einverstanden ist, hat sie den potentiellen Auswirkungen auf die Finanzstabilität der betreffenden Mitgliedstaaten sowie der potentiellen Wirkung der Maßnahmen auf andere Teile der Gruppe in angemessener Weise Rechnung zu tragen.</w:t>
      </w:r>
    </w:p>
    <w:p>
      <w:r>
        <w:rPr>
          <w:color w:val="555555"/>
          <w:sz w:val="17"/>
        </w:rPr>
        <w:t xml:space="preserve">Zitiervorschlag: § 162 SAG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https://recht.nulegal.eu/gesetze/SAG/162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