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SAG — Organisation des Abwicklungskollegiums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führt den Vorsitz im Abwicklungskollegium. In dieser Eigenschaft muss sie</w:t>
      </w:r>
    </w:p>
    <w:p>
      <w:pPr>
        <w:ind w:left="420"/>
      </w:pPr>
      <w:r>
        <w:t xml:space="preserve">1. nach Konsultation der anderen Mitglieder des Abwicklungskollegiums die Modalitäten und Verfahren für die Arbeitsweise des Abwicklungskollegiums schriftlich festlegen;</w:t>
      </w:r>
    </w:p>
    <w:p>
      <w:pPr>
        <w:ind w:left="420"/>
      </w:pPr>
      <w:r>
        <w:t xml:space="preserve">2. sämtliche Tätigkeiten des Abwicklungskollegiums koordinieren;</w:t>
      </w:r>
    </w:p>
    <w:p>
      <w:pPr>
        <w:ind w:left="420"/>
      </w:pPr>
      <w:r>
        <w:t xml:space="preserve">3. Sitzungen des Abwicklungskollegiums einberufen und dessen Mitglieder vorab umfassend über die Einberufung der Sitzungen, die wichtigsten Tagesordnungspunkte und die zu erörternden Fragen informieren;</w:t>
      </w:r>
    </w:p>
    <w:p>
      <w:pPr>
        <w:ind w:left="420"/>
      </w:pPr>
      <w:r>
        <w:t xml:space="preserve">4. den Mitgliedern des Abwicklungskollegiums mitteilen, welche Sitzungen geplant sind, damit diese um Teilnahme ersuchen können;</w:t>
      </w:r>
    </w:p>
    <w:p>
      <w:pPr>
        <w:ind w:left="420"/>
      </w:pPr>
      <w:r>
        <w:t xml:space="preserve">5. darüber entscheiden, welche Mitglieder und Beobachter zur Teilnahme an bestimmten Sitzungen des Abwicklungskollegiums eingeladen werden, wobei sie der Bedeutung der zu erörternden Frage für die betreffenden Mitglieder und Beobachter, insbesondere den möglichen Auswirkungen auf die Finanzstabilität in den betreffenden Mitgliedstaaten und Drittstaaten, Rechnung zu tragen hat;</w:t>
      </w:r>
    </w:p>
    <w:p>
      <w:pPr>
        <w:ind w:left="420"/>
      </w:pPr>
      <w:r>
        <w:t xml:space="preserve">6. alle Mitglieder des Kollegiums rechtzeitig über die in den betreffenden Sitzungen getroffenen Entscheidungen und erzielten Ergebnisse informieren.</w:t>
      </w:r>
    </w:p>
    <w:p>
      <w:r>
        <w:t xml:space="preserve">(2) Die Mitglieder des Abwicklungskollegiums müssen um Teilnahme an den Sitzungen ersuchen. Die Abwicklungsbehörden der anderen Mitgliedstaaten sind immer dann zur Teilnahme an Sitzungen des Abwicklungskollegiums berechtigt, wenn Angelegenheiten auf der Tagesordnung stehen, die der gemeinsamen Beschlussfassung unterliegen oder die im Zusammenhang mit einem Unternehmen der Gruppe stehen, das sich in ihrem Rechtsraum befindet.</w:t>
      </w:r>
    </w:p>
    <w:p>
      <w:r>
        <w:t xml:space="preserve">(3) Die Mitglieder des Abwicklungskollegiums arbeiten eng zusammen.</w:t>
      </w:r>
    </w:p>
    <w:p>
      <w:r>
        <w:rPr>
          <w:color w:val="555555"/>
          <w:sz w:val="17"/>
        </w:rPr>
        <w:t xml:space="preserve">Zitiervorschlag: § 158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