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157 SAG — Mitglieder des Abwicklungskollegiums und weitere Teilnehmer</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Die folgenden Behörden sind stimmberechtigte Mitglieder des Abwicklungskollegiums:</w:t>
      </w:r>
    </w:p>
    <w:p>
      <w:pPr>
        <w:ind w:left="420"/>
      </w:pPr>
      <w:r>
        <w:t xml:space="preserve">1. die Abwicklungsbehörde;</w:t>
      </w:r>
    </w:p>
    <w:p>
      <w:pPr>
        <w:ind w:left="420"/>
      </w:pPr>
      <w:r>
        <w:t xml:space="preserve">2. die Abwicklungsbehörden der anderen Mitgliedstaaten, in denen ein der Beaufsichtigung auf konsolidierter Basis unterliegendes Tochterunternehmen niedergelassen ist;</w:t>
      </w:r>
    </w:p>
    <w:p>
      <w:pPr>
        <w:ind w:left="420"/>
      </w:pPr>
      <w:r>
        <w:t xml:space="preserve">3. die Abwicklungsbehörden der anderen Mitgliedstaaten, in denen ein Mutterunternehmen eines oder mehrerer Institute der Gruppe niedergelassen ist;</w:t>
      </w:r>
    </w:p>
    <w:p>
      <w:pPr>
        <w:ind w:left="420"/>
      </w:pPr>
      <w:r>
        <w:t xml:space="preserve">4. die Abwicklungsbehörden der anderen Mitgliedstaaten, in denen sich bedeutende Zweigniederlassungen befinden;</w:t>
      </w:r>
    </w:p>
    <w:p>
      <w:pPr>
        <w:ind w:left="420"/>
      </w:pPr>
      <w:r>
        <w:t xml:space="preserve">5. die Deutsche Bundesbank;</w:t>
      </w:r>
    </w:p>
    <w:p>
      <w:pPr>
        <w:ind w:left="420"/>
      </w:pPr>
      <w:r>
        <w:t xml:space="preserve">6. die Europäische Zentralbank, sofern sie nach Maßgabe der Verordnung (EU) Nr. 1024/2013 zuständige Behörde für ein gruppenangehöriges Unternehmen ist;</w:t>
      </w:r>
    </w:p>
    <w:p>
      <w:pPr>
        <w:ind w:left="420"/>
      </w:pPr>
      <w:r>
        <w:t xml:space="preserve">7. die Aufsichtsbehörde;</w:t>
      </w:r>
    </w:p>
    <w:p>
      <w:pPr>
        <w:ind w:left="420"/>
      </w:pPr>
      <w:r>
        <w:t xml:space="preserve">8. die Aufsichtsbehörden der anderen Mitgliedstaaten, deren Abwicklungsbehörde ein Mitglied des Abwicklungskollegiums ist; ist die Aufsichtsbehörde eines Mitgliedstaats nicht die Zentralbank des Staates, so kann die Aufsichtsbehörde entscheiden, sich von einem Vertreter der Zentralbank des Mitgliedstaats begleiten zu lassen;</w:t>
      </w:r>
    </w:p>
    <w:p>
      <w:pPr>
        <w:ind w:left="420"/>
      </w:pPr>
      <w:r>
        <w:t xml:space="preserve">9. das Bundesministerium der Finanzen;</w:t>
      </w:r>
    </w:p>
    <w:p>
      <w:pPr>
        <w:ind w:left="420"/>
      </w:pPr>
      <w:r>
        <w:t xml:space="preserve">10. die zuständigen Ministerien in den Fällen, in denen die Abwicklungsbehörden der anderen Mitgliedstaaten, die Mitglieder des Abwicklungskollegiums sind, nicht die zuständigen Ministerien sind;</w:t>
      </w:r>
    </w:p>
    <w:p>
      <w:pPr>
        <w:ind w:left="420"/>
      </w:pPr>
      <w:r>
        <w:t xml:space="preserve">11. die Behörde, die die Aufsicht über das Einlagensicherungssystem führt;</w:t>
      </w:r>
    </w:p>
    <w:p>
      <w:pPr>
        <w:ind w:left="420"/>
      </w:pPr>
      <w:r>
        <w:t xml:space="preserve">12. die Behörde, die für das Einlagensicherungssystem eines Mitgliedstaats zuständig ist, wenn die Abwicklungsbehörde dieses Mitgliedstaats Mitglied eines Abwicklungskollegiums ist.</w:t>
      </w:r>
    </w:p>
    <w:p>
      <w:r>
        <w:t xml:space="preserve">(2) Die Europäische Bankenaufsichtsbehörde trägt dazu bei, eine effiziente, effektive und einheitliche Arbeitsweise von Abwicklungskollegien unter Beachtung internationaler Standards zu gewährleisten. Zu diesem Zweck ist sie als Mitglied ohne Stimmrecht zu den Sitzungen des Abwicklungskollegiums einzuladen.</w:t>
      </w:r>
    </w:p>
    <w:p>
      <w:r>
        <w:t xml:space="preserve">(3) Die Abwicklungsbehörden der Drittstaaten, in denen ein in der Europäischen Union niedergelassenes EU-Mutterunternehmen ein Tochterunternehmen oder eine bedeutende Zweigniederlassung hat, können auf ihr Ersuchen als Beobachter zur Teilnahme am betreffenden Abwicklungskollegium eingeladen werden, sofern diese Abwicklungsbehörden Verschwiegenheitspflichten unterliegen, die nach Auffassung der Abwicklungsbehörde den in den §§ 4 bis 10 und 21 festgelegten Anforderungen vergleichbar sind.</w:t>
      </w:r>
    </w:p>
    <w:p>
      <w:r>
        <w:rPr>
          <w:color w:val="555555"/>
          <w:sz w:val="17"/>
        </w:rPr>
        <w:t xml:space="preserve">Zitiervorschlag: § 157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