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152j SAG — Besondere Befugnisse nach der Verordnung (EU) 2021/23</w:t>
      </w:r>
    </w:p>
    <w:p>
      <w:r>
        <w:rPr>
          <w:color w:val="555555"/>
          <w:sz w:val="18"/>
        </w:rPr>
        <w:t xml:space="preserve">Sanierungs- und Abwicklungsgesetz</w:t>
      </w:r>
    </w:p>
    <w:p>
      <w:r>
        <w:rPr>
          <w:color w:val="555555"/>
          <w:sz w:val="18"/>
        </w:rPr>
        <w:t xml:space="preserve">Stand: 12.08.2022 (konsolidierte Textfassung, kein amtliches Inkrafttretensdatum)</w:t>
      </w:r>
    </w:p>
    <w:p>
      <w:r>
        <w:t xml:space="preserve">(1) Die Bundesanstalt überwacht die Einhaltung der Verbote und Gebote der in den Titeln III bis V enthaltenen Artikel der Verordnung (EU) 2021/23. Sie kann Anordnungen treffen, die zur Durchsetzung der in Satz 1 genannten Verbote geeignet und erforderlich sind. Insbesondere kann sie ein vorübergehendes Verbot für die Mitglieder der Geschäftsleitung der zentralen Gegenpartei oder für eine andere verantwortliche natürliche Person, in einer zentralen Gegenpartei Aufgaben wahrzunehmen, verhängen, wenn</w:t>
      </w:r>
    </w:p>
    <w:p>
      <w:pPr>
        <w:ind w:left="420"/>
      </w:pPr>
      <w:r>
        <w:t xml:space="preserve">1. entgegen Artikel 9 Sanierungspläne nicht erstellt, fortgeschrieben oder aktualisiert werden;</w:t>
      </w:r>
    </w:p>
    <w:p>
      <w:pPr>
        <w:ind w:left="420"/>
      </w:pPr>
      <w:r>
        <w:t xml:space="preserve">2. entgegen Artikel 9 Absatz 6 eine Mitteilung nicht, nicht richtig, nicht vollständig oder nicht rechtzeitig erstattet wird;</w:t>
      </w:r>
    </w:p>
    <w:p>
      <w:pPr>
        <w:ind w:left="420"/>
      </w:pPr>
      <w:r>
        <w:t xml:space="preserve">3. entgegen Artikel 9 Absatz 7 Unterabsatz 2 Maßnahmen gegen das Verlangen der Aufsichtsbehörde durchgeführt werden;</w:t>
      </w:r>
    </w:p>
    <w:p>
      <w:pPr>
        <w:ind w:left="420"/>
      </w:pPr>
      <w:r>
        <w:t xml:space="preserve">4. entgegen Artikel 13 Absatz 1 Unterabsatz 1 nicht alle für die Ausarbeitung von Abwicklungsplänen erforderlichen Informationen bereitgestellt werden;</w:t>
      </w:r>
    </w:p>
    <w:p>
      <w:pPr>
        <w:ind w:left="420"/>
      </w:pPr>
      <w:r>
        <w:t xml:space="preserve">5. entgegen Artikel 13 Absatz 2 Aufzeichnungen nicht, nicht vollständig oder nicht rechtzeitig zur Verfügung gestellt werden;</w:t>
      </w:r>
    </w:p>
    <w:p>
      <w:pPr>
        <w:ind w:left="420"/>
      </w:pPr>
      <w:r>
        <w:t xml:space="preserve">6. entgegen Artikel 13 Absatz 3 Informationen nicht, nicht vollständig oder nicht rechtzeitig ausgetauscht werden;</w:t>
      </w:r>
    </w:p>
    <w:p>
      <w:pPr>
        <w:ind w:left="420"/>
      </w:pPr>
      <w:r>
        <w:t xml:space="preserve">7. entgegen Artikel 70 Absatz 1 die zuständige Behörde nicht darüber unterrichtet wird, dass die zentrale Gegenpartei ausfällt oder wahrscheinlich ausfällt.</w:t>
      </w:r>
    </w:p>
    <w:p>
      <w:r>
        <w:t xml:space="preserve">(2) Die Bundesanstalt kann Entscheidungen über Maßnahmen und Sanktionen, die nach Absatz 1 Satz 2 und 3 sowie nach § 152l erlassen wurden, auf ihrer Internetseite bekannt machen.</w:t>
      </w:r>
    </w:p>
    <w:p>
      <w:r>
        <w:rPr>
          <w:color w:val="555555"/>
          <w:sz w:val="17"/>
        </w:rPr>
        <w:t xml:space="preserve">Zitiervorschlag: § 152j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https://recht.nulegal.eu/gesetze/SAG/152j</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