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152i SAG — Verordnungsermächtigung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12.08.2022 (konsolidierte Textfassung, kein amtliches Inkrafttretensdatum)</w:t>
      </w:r>
    </w:p>
    <w:p>
      <w:r>
        <w:t xml:space="preserve">(1) Das Bundesministerium der Finanzen wird ermächtigt, durch Rechtsverordnung ohne Zustimmung des Bundesrates nähere Bestimmungen zu erlassen über</w:t>
      </w:r>
    </w:p>
    <w:p>
      <w:pPr>
        <w:ind w:left="420"/>
      </w:pPr>
      <w:r>
        <w:t xml:space="preserve">1. die Anforderungen an die Ausgestaltung von Sanierungsplänen, insbesondere nähere Bestimmungen zu den Bestandteilen und Maßnahmen des Sanierungsplans, jeweils auch unter Berücksichtigung besonderer Geschäftsmodelle und besonderer Geschäftsaktivitäten von zentralen Gegenparteien;</w:t>
      </w:r>
    </w:p>
    <w:p>
      <w:pPr>
        <w:ind w:left="420"/>
      </w:pPr>
      <w:r>
        <w:t xml:space="preserve">2. Art, Umfang und Fristen der Behebung von Hindernissen nach Artikel 10 Absatz 10 der Verordnung (EU) 2021/23;</w:t>
      </w:r>
    </w:p>
    <w:p>
      <w:pPr>
        <w:ind w:left="420"/>
      </w:pPr>
      <w:r>
        <w:t xml:space="preserve">3. die Art und Weise, wie eine Umwandlung oder Herabschreibung von Eigentumstiteln und Schuldtiteln oder anderen unbesicherten Verbindlichkeiten und eine Löschung oder Verwässerung nach Artikel 33 Absatz 2 Unterabsatz 2 der Verordnung (EU) 2021/23 bewirkt wird;</w:t>
      </w:r>
    </w:p>
    <w:p>
      <w:pPr>
        <w:ind w:left="420"/>
      </w:pPr>
      <w:r>
        <w:t xml:space="preserve">4. die Umstände, unter denen die Abwicklungsbehörde nach Artikel 41 Absatz 3 der Verordnung (EU) 2021/23 das Instrument der Unternehmensveräußerung auch für den Fall anwenden kann, dass die Kriterien der Vermarktung nicht erfüllt werden;</w:t>
      </w:r>
    </w:p>
    <w:p>
      <w:pPr>
        <w:ind w:left="420"/>
      </w:pPr>
      <w:r>
        <w:t xml:space="preserve">5. den Inhalt der gemäß Artikel 53 Absatz 2 der Verordnung (EU) 2021/23 erforderlichen Bestimmungen in Verträgen und sonstigen Vereinbarungen.</w:t>
      </w:r>
    </w:p>
    <w:p>
      <w:r>
        <w:t xml:space="preserve">(2) Das Bundesministerium der Finanzen kann die Ermächtigung nach Absatz 1 durch Rechtsverordnung auf die Aufsichtsbehörde und auf die Abwicklungsbehörde übertragen.</w:t>
      </w:r>
    </w:p>
    <w:p>
      <w:r>
        <w:rPr>
          <w:color w:val="555555"/>
          <w:sz w:val="17"/>
        </w:rPr>
        <w:t xml:space="preserve">Zitiervorschlag: § 152i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https://recht.nulegal.eu/gesetze/SAG/152i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