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152h SAG — Rechtsschutz</w:t>
      </w:r>
    </w:p>
    <w:p>
      <w:r>
        <w:rPr>
          <w:color w:val="555555"/>
          <w:sz w:val="18"/>
        </w:rPr>
        <w:t xml:space="preserve">Sanierungs- und Abwicklungsgesetz</w:t>
      </w:r>
    </w:p>
    <w:p>
      <w:r>
        <w:rPr>
          <w:color w:val="555555"/>
          <w:sz w:val="18"/>
        </w:rPr>
        <w:t xml:space="preserve">Stand: 12.08.2022 (konsolidierte Textfassung, kein amtliches Inkrafttretensdatum)</w:t>
      </w:r>
    </w:p>
    <w:p>
      <w:r>
        <w:t xml:space="preserve">(1) Ein Widerspruchsverfahren gegen eine Abwicklungsmaßnahme nach Artikel 27 Absatz 1, den Artikeln 48 bis 59 der Verordnung (EU) 2021/23 wird nicht durchgeführt. Eine Anfechtungsklage gegen Abwicklungsmaßnahmen der Abwicklungsbehörde einschließlich der Androhung und Festsetzung von Zwangsmitteln nach diesem Gesetz hat keine aufschiebende Wirkung.</w:t>
      </w:r>
    </w:p>
    <w:p>
      <w:r>
        <w:t xml:space="preserve">(2) Widerspruch und Anfechtungsklage gegen Verwaltungsakte einschließlich der Androhung und Festsetzung von Zwangsmitteln auf der Grundlage der Artikel 9, 10, 13, 15, 16, 18 und 19 der Verordnung (EU) 2021/23 sowie des § 152d dieses Gesetzes haben keine aufschiebende Wirkung.</w:t>
      </w:r>
    </w:p>
    <w:p>
      <w:r>
        <w:t xml:space="preserve">(3) § 179 Absatz 2 bis 4 gilt entsprechend.</w:t>
      </w:r>
    </w:p>
    <w:p>
      <w:r>
        <w:rPr>
          <w:color w:val="555555"/>
          <w:sz w:val="17"/>
        </w:rPr>
        <w:t xml:space="preserve">Zitiervorschlag: § 152h 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https://recht.nulegal.eu/gesetze/SAG/152h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