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152g SAG — Verfahrensvorschriften, Einlagensicherung, Sozialpläne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12.08.2022 (konsolidierte Textfassung, kein amtliches Inkrafttretensdatum)</w:t>
      </w:r>
    </w:p>
    <w:p>
      <w:r>
        <w:t xml:space="preserve">Liegen die Abwicklungsvoraussetzungen vor, kann die Abwicklungsbehörde die Abwicklungsanordnung durch Allgemeinverfügung treffen. § 10 Absatz 1, die §§ 11, 77 Absatz 9, § 137 Absatz 1 Satz 2, Absatz 2 und 3 sowie die §§ 139 bis 143, 145, 148, 151, 152 finden entsprechende Anwendung.</w:t>
      </w:r>
    </w:p>
    <w:p>
      <w:r>
        <w:rPr>
          <w:color w:val="555555"/>
          <w:sz w:val="17"/>
        </w:rPr>
        <w:t xml:space="preserve">Zitiervorschlag: § 152g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https://recht.nulegal.eu/gesetze/SAG/152g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