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152f SAG — Inhalt der Abwicklungsanordnung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(1) Die Abwicklungsanordnung muss mindestens enthalten:</w:t>
      </w:r>
    </w:p>
    <w:p>
      <w:pPr>
        <w:ind w:left="420"/>
      </w:pPr>
      <w:r>
        <w:t xml:space="preserve">1. den Namen oder die Firma und den Sitz</w:t>
      </w:r>
    </w:p>
    <w:p>
      <w:pPr>
        <w:ind w:left="780"/>
      </w:pPr>
      <w:r>
        <w:t xml:space="preserve">a) der abzuwickelnden zentralen Gegenpartei,</w:t>
      </w:r>
    </w:p>
    <w:p>
      <w:pPr>
        <w:ind w:left="780"/>
      </w:pPr>
      <w:r>
        <w:t xml:space="preserve">b) bei Anwendung eines der Abwicklungsinstrumente nach Artikel 40 oder Artikel 42 der Verordnung (EU) 2021/23 des übertragenden Rechtsträgers sowie des übernehmenden Rechtsträgers;</w:t>
      </w:r>
    </w:p>
    <w:p>
      <w:pPr>
        <w:ind w:left="420"/>
      </w:pPr>
      <w:r>
        <w:t xml:space="preserve">2. Angaben zu den eingesetzten Abwicklungsinstrumenten, insbesondere</w:t>
      </w:r>
    </w:p>
    <w:p>
      <w:pPr>
        <w:ind w:left="780"/>
      </w:pPr>
      <w:r>
        <w:t xml:space="preserve">a) die Angabe der zu übertragenden Gegenstände in den Fällen der Artikel 40 und 42 der Verordnung (EU) 2021/23,</w:t>
      </w:r>
    </w:p>
    <w:p>
      <w:pPr>
        <w:ind w:left="780"/>
      </w:pPr>
      <w:r>
        <w:t xml:space="preserve">b) die Angabe der betroffenen Kontrakte und Sicherheiten in den Fällen der Artikel 29 und 30 der Verordnung (EU) 2021/23,</w:t>
      </w:r>
    </w:p>
    <w:p>
      <w:pPr>
        <w:ind w:left="780"/>
      </w:pPr>
      <w:r>
        <w:t xml:space="preserve">c) die Angabe zu der Gesamthöhe des Abwicklungsbarmittelabrufs im Falle des Artikels 31 der Verordnung (EU) 2021/23 und</w:t>
      </w:r>
    </w:p>
    <w:p>
      <w:pPr>
        <w:ind w:left="780"/>
      </w:pPr>
      <w:r>
        <w:t xml:space="preserve">d) die Angabe der betroffenen Eigentumstitel und Schuldtitel oder anderer unbesicherter Verbindlichkeiten im Fall des Artikels 32 der Verordnung (EU) 2021/23,</w:t>
      </w:r>
    </w:p>
    <w:p>
      <w:pPr>
        <w:ind w:left="420"/>
      </w:pPr>
      <w:r>
        <w:t xml:space="preserve">wobei eine gattungsmäßige Bezeichnung jeweils ausreicht;</w:t>
      </w:r>
    </w:p>
    <w:p>
      <w:pPr>
        <w:ind w:left="420"/>
      </w:pPr>
      <w:r>
        <w:t xml:space="preserve">3. den Abwicklungsstichtag;</w:t>
      </w:r>
    </w:p>
    <w:p>
      <w:pPr>
        <w:ind w:left="420"/>
      </w:pPr>
      <w:r>
        <w:t xml:space="preserve">4. Angaben zum Vorliegen der Zustimmung des Käufers im Falle des Artikels 40 Absatz 1 der Verordnung (EU) 2021/23; § 109 Absatz 1 Satz 2 und 4 findet entsprechende Anwendung;</w:t>
      </w:r>
    </w:p>
    <w:p>
      <w:pPr>
        <w:ind w:left="420"/>
      </w:pPr>
      <w:r>
        <w:t xml:space="preserve">5. sofern bereits bekannt, Angaben zur Entschädigung nach Artikel 33 Absatz 7 der Verordnung (EU) 2021/23;</w:t>
      </w:r>
    </w:p>
    <w:p>
      <w:pPr>
        <w:ind w:left="420"/>
      </w:pPr>
      <w:r>
        <w:t xml:space="preserve">6. sofern bereits bekannt, Angaben aus der entsprechenden Anwendung des § 142.</w:t>
      </w:r>
    </w:p>
    <w:p>
      <w:r>
        <w:t xml:space="preserve">(2) § 136 Absatz 2 bis 4 findet entsprechende Anwendung.</w:t>
      </w:r>
    </w:p>
    <w:p>
      <w:r>
        <w:rPr>
          <w:color w:val="555555"/>
          <w:sz w:val="17"/>
        </w:rPr>
        <w:t xml:space="preserve">Zitiervorschlag: § 152f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https://recht.nulegal.eu/gesetze/SAG/152f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