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152e SAG — Ausgleich des Differenzbetrags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12.08.2022 (konsolidierte Textfassung, kein amtliches Inkrafttretensdatum)</w:t>
      </w:r>
    </w:p>
    <w:p>
      <w:r>
        <w:t xml:space="preserve">Der Ausgleich des Differenzbetrags nach Artikel 62 der Verordnung (EU) 2021/23 steht den Anteilseignern, den Clearingmitgliedern und den anderen Gläubigern gegenüber der Abwicklungsbehörde zu.</w:t>
      </w:r>
    </w:p>
    <w:p>
      <w:r>
        <w:rPr>
          <w:color w:val="555555"/>
          <w:sz w:val="17"/>
        </w:rPr>
        <w:t xml:space="preserve">Zitiervorschlag: § 152e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https://recht.nulegal.eu/gesetze/SAG/152e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