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152d SAG — Abwicklungsinstrumente, Anordnungsbefugnis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(1) Die Abwicklungsbehörde kann von der zentralen Gegenpartei verlangen, die Positionszuweisungs- und Verlustzuweisungsinstrumente nach den Artikeln 29 bis 31 der Verordnung (EU) 2021/23 in ihre Betriebsvorschriften aufzunehmen.</w:t>
      </w:r>
    </w:p>
    <w:p>
      <w:r>
        <w:t xml:space="preserve">(2) Die Bundesanstalt kann gegenüber einer zentralen Gegenpartei im Einzelfall Anordnungen treffen, die geeignet und erforderlich sind, die Einhaltung der Verordnung (EU) 2021/23 sicherzustellen.</w:t>
      </w:r>
    </w:p>
    <w:p>
      <w:r>
        <w:rPr>
          <w:color w:val="555555"/>
          <w:sz w:val="17"/>
        </w:rPr>
        <w:t xml:space="preserve">Zitiervorschlag: § 152d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