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152b SAG — Zuständigkeit</w:t>
      </w:r>
    </w:p>
    <w:p>
      <w:r>
        <w:rPr>
          <w:color w:val="555555"/>
          <w:sz w:val="18"/>
        </w:rPr>
        <w:t xml:space="preserve">Sanierungs- und Abwicklungsgesetz</w:t>
      </w:r>
    </w:p>
    <w:p>
      <w:r>
        <w:rPr>
          <w:color w:val="555555"/>
          <w:sz w:val="18"/>
        </w:rPr>
        <w:t xml:space="preserve">Stand: 06.01.2024 (konsolidierte Textfassung, kein amtliches Inkrafttretensdatum)</w:t>
      </w:r>
    </w:p>
    <w:p>
      <w:r>
        <w:t xml:space="preserve">(1) Die Bundesanstalt ist zuständige Abwicklungsbehörde im Sinne von Artikel 3 Absatz 1 der Verordnung (EU) 2021/23.</w:t>
      </w:r>
    </w:p>
    <w:p>
      <w:r>
        <w:t xml:space="preserve">(2) Das Bundesministerium der Finanzen ist zuständiges Ministerium im Sinne von Artikel 3 Absatz 8 der Verordnung (EU) 2021/23.</w:t>
      </w:r>
    </w:p>
    <w:p>
      <w:r>
        <w:t xml:space="preserve">(3) Die Bundesanstalt übt ihre Zuständigkeit für die Sanierung und Abwicklung von zentralen Gegenparteien nach den Vorschriften von Teil 5 dieses Gesetzes, den dazu erlassenen Rechtsverordnungen, der Verordnung (EU) 2021/23 sowie den auf ihrer Grundlage erlassenen Rechtsakten aus. Die Deutsche Bundesbank ist abweichend von § 1 Absatz 1 Satz 2 in entsprechender Anwendung von § 12 Absatz 3 Satz 3, Absatz 4 Satz 1 und 5 sowie § 15 Absatz 2 Satz 1 in die Sanierungsplanung einzubeziehen.</w:t>
      </w:r>
    </w:p>
    <w:p>
      <w:r>
        <w:t xml:space="preserve">(4) Bei Abwicklungsmaßnahmen wird die Abwicklungsbehörde den Betriebsrat der zentralen Gegenpartei informieren, soweit dies ohne Beeinträchtigung der Abwicklungsziele möglich ist.</w:t>
      </w:r>
    </w:p>
    <w:p>
      <w:r>
        <w:rPr>
          <w:color w:val="555555"/>
          <w:sz w:val="17"/>
        </w:rPr>
        <w:t xml:space="preserve">Zitiervorschlag: § 152b 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https://recht.nulegal.eu/gesetze/SAG/152b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