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152a SAG — Anwendungsbereich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12.08.2022 (konsolidierte Textfassung, kein amtliches Inkrafttretensdatum)</w:t>
      </w:r>
    </w:p>
    <w:p>
      <w:r>
        <w:t xml:space="preserve">Die Vorschriften dieses Teils finden ausschließlich Anwendung auf zentrale Gegenparteien, die ein Unternehmen im Sinne des Artikels 2 Nummer 1 der Verordnung (EU) Nr. 648/2012 sind und ihren Sitz im Inland haben.</w:t>
      </w:r>
    </w:p>
    <w:p>
      <w:r>
        <w:rPr>
          <w:color w:val="555555"/>
          <w:sz w:val="17"/>
        </w:rPr>
        <w:t xml:space="preserve">Zitiervorschlag: § 152a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https://recht.nulegal.eu/gesetze/SAG/152a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