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SAG — Ausschluss bestimmter vertraglicher Bedingungen bei frühzeitigem Eingreifen und bei der Abwicklung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Eine Krisenpräventionsmaßnahme oder eine Krisenmanagementmaßnahme, einschließlich eines unmittelbar mit der Anwendung einer solchen Maßnahme verbundenen Ereignisses, gelten in Bezug auf das Institut oder die Gruppe und alle gruppenangehörigen Unternehmen nicht als Verwertungs- oder Beendigungsfall im Sinne der Richtlinie 2002/47/EG des Europäischen Parlaments und des Rates oder als Insolvenzverfahren im Sinne der Richtlinie 98/26/EG des Europäischen Parlaments und des Rates, wenn die Hauptleistungspflichten aus dem Vertrag, einschließlich Zahlungs- und Leistungsverpflichtungen, und die Pflicht zur Stellung von Sicherheiten weiterhin erfüllt werden. Eine Aussetzung oder Beschränkung gemäß den §§ 66a und 82 bis 84 stellt keine Nichterfüllung von vertraglichen Hauptleistungspflichten dar.</w:t>
      </w:r>
    </w:p>
    <w:p>
      <w:r>
        <w:t xml:space="preserve">(2) Wird ein Drittstaatsabwicklungsverfahren gemäß § 169 anerkannt, so gilt dieses Verfahren für die Zwecke dieser Vorschrift als Krisenmanagementmaßnahme.</w:t>
      </w:r>
    </w:p>
    <w:p>
      <w:r>
        <w:t xml:space="preserve">(3) Eine Krisenpräventionsmaßnahme, eine Maßnahme nach § 66a oder eine Krisenmanagementmaßnahme, einschließlich eines unmittelbar mit der Anwendung einer solchen Maßnahme verbundenen Ereignisses, berechtigen nicht dazu,</w:t>
      </w:r>
    </w:p>
    <w:p>
      <w:pPr>
        <w:ind w:left="420"/>
      </w:pPr>
      <w:r>
        <w:t xml:space="preserve">1. Kündigungs-, Aussetzungs-, Änderungs-, Zurückbehaltungs-, Verrechnungs- oder Aufrechnungsrechte gegenüber einem Institut oder gruppenangehörigen Unternehmen auszuüben,</w:t>
      </w:r>
    </w:p>
    <w:p>
      <w:pPr>
        <w:ind w:left="420"/>
      </w:pPr>
      <w:r>
        <w:t xml:space="preserve">2. Eigentum des betreffenden Instituts oder gruppenangehörigen Unternehmens zu erlangen, Kontrolle darüber auszuüben oder Ansprüche aus einer Sicherheit geltend zu machen und</w:t>
      </w:r>
    </w:p>
    <w:p>
      <w:pPr>
        <w:ind w:left="420"/>
      </w:pPr>
      <w:r>
        <w:t xml:space="preserve">3. etwaige vertragliche Rechte des betreffenden Instituts oder gruppenangehörigen Unternehmens zu beeinträchtigen.</w:t>
      </w:r>
    </w:p>
    <w:p>
      <w:r>
        <w:t xml:space="preserve">Dies gilt nur, wenn die Hauptleistungspflichten aus dem Vertrag, einschließlich Zahlungs- und Leistungspflichten, und die Pflicht zur Stellung von Sicherheiten weiterhin erfüllt werden. Absatz 1 Satz 2 gilt entsprechend.</w:t>
      </w:r>
    </w:p>
    <w:p>
      <w:r>
        <w:t xml:space="preserve">(4) Die in Absatz 3 Satz 1 genannten Rechte können ausgeübt werden, wenn die Rechte auf Grund eines anderen Ereignisses als einer Krisenpräventionsmaßnahme, einer Krisenmanagementmaßnahme oder einem unmittelbar mit der Anwendung einer solchen Maßnahme verbundenen Ereignis entstanden sind.</w:t>
      </w:r>
    </w:p>
    <w:p>
      <w:r>
        <w:t xml:space="preserve">(5) Aus Vereinbarungen, die den Regelungen der Absätze 1 und 3 zuwiderlaufen, können keine Rechte hergeleitet werden.</w:t>
      </w:r>
    </w:p>
    <w:p>
      <w:r>
        <w:rPr>
          <w:color w:val="555555"/>
          <w:sz w:val="17"/>
        </w:rPr>
        <w:t xml:space="preserve">Zitiervorschlag: § 144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