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142 SAG — Abzugsmöglichkeit</w:t>
      </w:r>
    </w:p>
    <w:p>
      <w:r>
        <w:rPr>
          <w:color w:val="555555"/>
          <w:sz w:val="18"/>
        </w:rPr>
        <w:t xml:space="preserve">Sanierungs- und Abwicklungsgesetz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Abwicklungsbehörde kann anordnen, dass Gebühren und Auslagen nach dem Bundesgebührengesetz sowie Kostenerstattungen nach § 15 Absatz 1 Satz 1 Nummer 11 des Finanzdienstleistungsaufsichtsgesetzes vorweg durch Abzug von den folgenden Positionen beglichen werden:</w:t>
      </w:r>
    </w:p>
    <w:p>
      <w:pPr>
        <w:ind w:left="420"/>
      </w:pPr>
      <w:r>
        <w:t xml:space="preserve">1. von einer Gegenleistung, die der übernehmende Rechtsträger nach § 111 Absatz 2 schuldet oder</w:t>
      </w:r>
    </w:p>
    <w:p>
      <w:pPr>
        <w:ind w:left="420"/>
      </w:pPr>
      <w:r>
        <w:t xml:space="preserve">2. von Erlösen im Zusammenhang mit der Abwicklung eines Brückeninstituts oder einer Vermögensverwaltungsgesellschaft.</w:t>
      </w:r>
    </w:p>
    <w:p>
      <w:r>
        <w:rPr>
          <w:color w:val="555555"/>
          <w:sz w:val="17"/>
        </w:rPr>
        <w:t xml:space="preserve">Zitiervorschlag: § 142 SAG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https://recht.nulegal.eu/gesetze/SAG/142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