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140 SAG — Verfahrenspflichten der Abwicklungsbehörde</w:t>
      </w:r>
    </w:p>
    <w:p>
      <w:r>
        <w:rPr>
          <w:color w:val="555555"/>
          <w:sz w:val="18"/>
        </w:rPr>
        <w:t xml:space="preserve">Sanierungs- und Abwicklungsgesetz</w:t>
      </w:r>
    </w:p>
    <w:p>
      <w:r>
        <w:rPr>
          <w:color w:val="555555"/>
          <w:sz w:val="18"/>
        </w:rPr>
        <w:t xml:space="preserve">Stand: 06.01.2024 (konsolidierte Textfassung, kein amtliches Inkrafttretensdatum)</w:t>
      </w:r>
    </w:p>
    <w:p>
      <w:r>
        <w:t xml:space="preserve">(1) Vor der Vornahme einer Abwicklungsmaßnahme informiert die Abwicklungsbehörde</w:t>
      </w:r>
    </w:p>
    <w:p>
      <w:pPr>
        <w:ind w:left="420"/>
      </w:pPr>
      <w:r>
        <w:t xml:space="preserve">1. das Bundesministerium der Finanzen und</w:t>
      </w:r>
    </w:p>
    <w:p>
      <w:pPr>
        <w:ind w:left="420"/>
      </w:pPr>
      <w:r>
        <w:t xml:space="preserve">2. das betroffene Einlagensicherungssystem.</w:t>
      </w:r>
    </w:p>
    <w:p>
      <w:r>
        <w:t xml:space="preserve">Die Abwicklungsbehörde erlässt Abwicklungsmaßnahmen mit unmittelbaren finanziellen Auswirkungen oder systemischen Auswirkungen nur mit Zustimmung des Bundesministeriums der Finanzen.</w:t>
      </w:r>
    </w:p>
    <w:p>
      <w:r>
        <w:t xml:space="preserve">(2) Die Abwicklungsbehörde informiert die folgenden Stellen über die Vornahme einer Abwicklungsmaßnahme:</w:t>
      </w:r>
    </w:p>
    <w:p>
      <w:pPr>
        <w:ind w:left="420"/>
      </w:pPr>
      <w:r>
        <w:t xml:space="preserve">1. die Deutsche Bundesbank,</w:t>
      </w:r>
    </w:p>
    <w:p>
      <w:pPr>
        <w:ind w:left="420"/>
      </w:pPr>
      <w:r>
        <w:t xml:space="preserve">2. die Aufsichtsbehörde,</w:t>
      </w:r>
    </w:p>
    <w:p>
      <w:pPr>
        <w:ind w:left="420"/>
      </w:pPr>
      <w:r>
        <w:t xml:space="preserve">3. die Aufsichtsbehörden, die für die betroffenen gruppenangehörigen Unternehmen und Zweigstellen zuständig sind, einschließlich der konsolidierenden Aufsichtsbehörde,</w:t>
      </w:r>
    </w:p>
    <w:p>
      <w:pPr>
        <w:ind w:left="420"/>
      </w:pPr>
      <w:r>
        <w:t xml:space="preserve">4. die Abwicklungsbehörden, die für die betroffenen gruppenangehörigen Unternehmen und Zweigstellen zuständig sind, einschließlich der Abwicklungsbehörde des Staates, in dem die konsolidierende Aufsichtsbehörde ihren Sitz hat,</w:t>
      </w:r>
    </w:p>
    <w:p>
      <w:pPr>
        <w:ind w:left="420"/>
      </w:pPr>
      <w:r>
        <w:t xml:space="preserve">5. den Ausschuss für Finanzstabilität,</w:t>
      </w:r>
    </w:p>
    <w:p>
      <w:pPr>
        <w:ind w:left="420"/>
      </w:pPr>
      <w:r>
        <w:t xml:space="preserve">6. den Europäischen Ausschuss für Systemrisiken,</w:t>
      </w:r>
    </w:p>
    <w:p>
      <w:pPr>
        <w:ind w:left="420"/>
      </w:pPr>
      <w:r>
        <w:t xml:space="preserve">7. die Kommission, die Europäische Zentralbank, die Europäische Wertpapier- und Marktaufsichtsbehörde, die Europäische Aufsichtsbehörde für das Versicherungswesen und die betriebliche Altersvorsorge und die Europäische Bankenaufsichtsbehörde sowie</w:t>
      </w:r>
    </w:p>
    <w:p>
      <w:pPr>
        <w:ind w:left="420"/>
      </w:pPr>
      <w:r>
        <w:t xml:space="preserve">8. die Systembetreiber eines Systems im Sinne des § 1 Absatz 16 des Kreditwesengesetzes, bei dem das betroffene Institut oder gruppenangehörige Unternehmen Teilnehmer ist.</w:t>
      </w:r>
    </w:p>
    <w:p>
      <w:r>
        <w:t xml:space="preserve">(3) Eine Mitteilung über die Vornahme einer Abwicklungsmaßnahme im Sinne des Absatzes 1 enthält eine Abschrift der Abwicklungsanordnung und nennt das Datum, ab dem die Abwicklungsmaßnahme wirksam wird.</w:t>
      </w:r>
    </w:p>
    <w:p>
      <w:r>
        <w:t xml:space="preserve">(4) Die Abwicklungsbehörde und die Aufsichtsbehörde veröffentlichen auf ihrer Internetseite die Abwicklungsanordnung oder eine Bekanntmachung, in der die Auswirkungen der Abwicklungsmaßnahme, insbesondere in Bezug auf die Einleger, und etwaige Anordnungen nach den §§ 82 bis 84 zusammengefasst werden.</w:t>
      </w:r>
    </w:p>
    <w:p>
      <w:r>
        <w:t xml:space="preserve">(5) Die Abwicklungsbehörde informiert auch das in Abwicklung befindliche Institut oder gruppenangehörige Unternehmen sowie das übergeordnete Unternehmen der Gruppe. Absatz 3 gilt entsprechend. Die nach Absatz 4 zu veröffentlichenden Informationen gelten als zu veröffentlichende Insiderinformationen im Sinne des Artikels 17 der Verordnung (EU) Nr. 596/2014.</w:t>
      </w:r>
    </w:p>
    <w:p>
      <w:r>
        <w:t xml:space="preserve">(6) Die Abwicklungsbehörde veröffentlicht auf ihrer Internetseite und im Bundesanzeiger, dass die Abwicklungsmaßnahmen beendet sind.</w:t>
      </w:r>
    </w:p>
    <w:p>
      <w:r>
        <w:rPr>
          <w:color w:val="555555"/>
          <w:sz w:val="17"/>
        </w:rPr>
        <w:t xml:space="preserve">Zitiervorschlag: § 140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