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SAG — Besondere Anforderungen an die Ausgestaltung von Gruppensanierungsplänen; Einzelsanierungsplan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06.01.2024 (konsolidierte Textfassung, kein amtliches Inkrafttretensdatum)</w:t>
      </w:r>
    </w:p>
    <w:p>
      <w:r>
        <w:t xml:space="preserve">(1) Ein übergeordnetes Unternehmen, das ein EU-Mutterunternehmen ist und für das die Aufsichtsbehörde gleichzeitig die konsolidierende Aufsichtsbehörde ist, hat einen Gruppensanierungsplan zu erstellen.</w:t>
      </w:r>
    </w:p>
    <w:p>
      <w:r>
        <w:t xml:space="preserve">(2) Ergänzend zu den Anforderungen des § 13 hat der Gruppensanierungsplan folgende Anforderungen zu erfüllen:</w:t>
      </w:r>
    </w:p>
    <w:p>
      <w:pPr>
        <w:ind w:left="420"/>
      </w:pPr>
      <w:r>
        <w:t xml:space="preserve">1. der Gruppensanierungsplan hat Handlungsoptionen zu enthalten, die sowohl auf der Ebene des übergeordneten Unternehmens als auch auf der Ebene von nachgeordneten Unternehmen umgesetzt werden können;</w:t>
      </w:r>
    </w:p>
    <w:p>
      <w:pPr>
        <w:ind w:left="420"/>
      </w:pPr>
      <w:r>
        <w:t xml:space="preserve">2. der Gruppensanierungsplan soll Regelungen vorsehen, die gewährleisten, dass Handlungsoptionen miteinander in Einklang stehen, die zu ergreifen sind auf der Ebene</w:t>
      </w:r>
    </w:p>
    <w:p>
      <w:pPr>
        <w:ind w:left="780"/>
      </w:pPr>
      <w:r>
        <w:t xml:space="preserve">a) des übergeordneten Unternehmens,</w:t>
      </w:r>
    </w:p>
    <w:p>
      <w:pPr>
        <w:ind w:left="780"/>
      </w:pPr>
      <w:r>
        <w:t xml:space="preserve">b) einer Finanzholdinggesellschaft, einer gemischten Finanzholdinggesellschaft, einer gemischten Holdinggesellschaft, einer Mutterfinanzholdinggesellschaft in einem Mitgliedstaat, einer EU-Mutterfinanzholdinggesellschaft, einer gemischten Mutterfinanzholdinggesellschaft in einem Mitgliedstaat oder einer gemischten EU-Mutterfinanzholdinggesellschaft,</w:t>
      </w:r>
    </w:p>
    <w:p>
      <w:pPr>
        <w:ind w:left="780"/>
      </w:pPr>
      <w:r>
        <w:t xml:space="preserve">c) der Tochterunternehmen und</w:t>
      </w:r>
    </w:p>
    <w:p>
      <w:pPr>
        <w:ind w:left="780"/>
      </w:pPr>
      <w:r>
        <w:t xml:space="preserve">d) bedeutender Zweigniederlassungen;</w:t>
      </w:r>
    </w:p>
    <w:p>
      <w:pPr>
        <w:ind w:left="420"/>
      </w:pPr>
      <w:r>
        <w:t xml:space="preserve">3. der Gruppensanierungsplan soll Regelungen für eine mögliche gruppeninterne Unterstützung enthalten, sofern eine Vereinbarung über gruppeninterne finanzielle Unterstützung gemäß § 22 vorliegt.</w:t>
      </w:r>
    </w:p>
    <w:p>
      <w:r>
        <w:t xml:space="preserve">(3) Nach Maßgabe von § 17 Absatz 2 bis 4 und § 18 kann die Aufsichtsbehörde die Erstellung eines Einzelsanierungsplans in Bezug auf ein inländisches Institut verlangen, das nachgeordnetes Unternehmen eines EU-Mutterunternehmens in einem anderen Mitgliedstaat ist. Anstelle und unter den Voraussetzungen eines Verlangens nach Satz 1 kann die Aufsichtsbehörde die Erstellung eines Sanierungsplans durch ein inländisches übergeordnetes Unternehmen verlangen, welcher sich auch auf alle ihm nachgeordneten Unternehmen bezieht.</w:t>
      </w:r>
    </w:p>
    <w:p>
      <w:r>
        <w:rPr>
          <w:color w:val="555555"/>
          <w:sz w:val="17"/>
        </w:rPr>
        <w:t xml:space="preserve">Zitiervorschlag: § 14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