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139 SAG — Entscheidung der Abwicklungsbehörde</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Erhält die Abwicklungsbehörde von einer anderen Stelle Kenntnis von einer möglichen Bestandsgefährdung, prüft sie unverzüglich, ob die Voraussetzungen einer Bestandsgefährdung vorliegen. Erhält die Abwicklungsbehörde die Kenntnis von einer möglichen Bestandsgefährdung von einer Stelle im Sinne des § 138 Absatz 3 Satz 2 Nummer 1 bis 4, ist diese Stelle verpflichtet, der Abwicklungsbehörde umfassend und unverzüglich alle Auskünfte zu der möglichen Bestandsgefährdung zu erteilen.</w:t>
      </w:r>
    </w:p>
    <w:p>
      <w:r>
        <w:t xml:space="preserve">(2) Die Abwicklungsbehörde dokumentiert das Ergebnis und die wesentlichen Erwägungen zu der Prüfung im Sinne des Absatzes 1 sowie das geplante weitere Vorgehen.</w:t>
      </w:r>
    </w:p>
    <w:p>
      <w:r>
        <w:rPr>
          <w:color w:val="555555"/>
          <w:sz w:val="17"/>
        </w:rPr>
        <w:t xml:space="preserve">Zitiervorschlag: § 139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