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137 SAG — Erlass und Bekanntgabe der Abwicklungsanordnung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Abwicklungsanordnung ergeht als Allgemeinverfügung. Einer gesonderten Bekanntgabe an die Beteiligten bedarf es genauso wenig wie einer gesonderten Zuleitung an den zuständigen Betriebsrat.</w:t>
      </w:r>
    </w:p>
    <w:p>
      <w:r>
        <w:t xml:space="preserve">(2) Die Abwicklungsanordnung ist nach Erlass unverzüglich nach Maßgabe des § 140 Absatz 4 zu veröffentlichen.</w:t>
      </w:r>
    </w:p>
    <w:p>
      <w:r>
        <w:t xml:space="preserve">(3) Die Veröffentlichung enthält auch Angaben zur Einwilligungserklärung des übernehmenden Rechtsträgers und zu den Kapitalerhöhungsbeschlüssen nach § 109.</w:t>
      </w:r>
    </w:p>
    <w:p>
      <w:r>
        <w:rPr>
          <w:color w:val="555555"/>
          <w:sz w:val="17"/>
        </w:rPr>
        <w:t xml:space="preserve">Zitiervorschlag: § 137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