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SAG — Inhalt der Abwicklungsanordnung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Die Abwicklungsanordnung muss mindestens die folgenden Angaben enthalten:</w:t>
      </w:r>
    </w:p>
    <w:p>
      <w:pPr>
        <w:ind w:left="420"/>
      </w:pPr>
      <w:r>
        <w:t xml:space="preserve">1. den Namen oder die Firma und den Sitz</w:t>
      </w:r>
    </w:p>
    <w:p>
      <w:pPr>
        <w:ind w:left="780"/>
      </w:pPr>
      <w:r>
        <w:t xml:space="preserve">a) des abzuwickelnden Instituts oder gruppenangehörigen Unternehmens und</w:t>
      </w:r>
    </w:p>
    <w:p>
      <w:pPr>
        <w:ind w:left="780"/>
      </w:pPr>
      <w:r>
        <w:t xml:space="preserve">b) bei Anwendung eines der Abwicklungsinstrumente nach § 107 des übertragenden Rechtsträgers sowie des übernehmenden Rechtsträgers;</w:t>
      </w:r>
    </w:p>
    <w:p>
      <w:pPr>
        <w:ind w:left="420"/>
      </w:pPr>
      <w:r>
        <w:t xml:space="preserve">2. Angaben zu den eingesetzten Abwicklungsinstrumenten, insbesondere</w:t>
      </w:r>
    </w:p>
    <w:p>
      <w:pPr>
        <w:ind w:left="780"/>
      </w:pPr>
      <w:r>
        <w:t xml:space="preserve">a) die Angabe der übertragenen Gegenstände im Fall des § 107 und</w:t>
      </w:r>
    </w:p>
    <w:p>
      <w:pPr>
        <w:ind w:left="780"/>
      </w:pPr>
      <w:r>
        <w:t xml:space="preserve">b) die Angabe der betroffenen Kapitalinstrumente und Verbindlichkeiten in den Fällen der §§ 89 und 90;</w:t>
      </w:r>
    </w:p>
    <w:p>
      <w:pPr>
        <w:ind w:left="420"/>
      </w:pPr>
      <w:r>
        <w:t xml:space="preserve">eine gattungsmäßige Bezeichnung reicht jeweils aus;</w:t>
      </w:r>
    </w:p>
    <w:p>
      <w:pPr>
        <w:ind w:left="420"/>
      </w:pPr>
      <w:r>
        <w:t xml:space="preserve">3. den Abwicklungsstichtag;</w:t>
      </w:r>
    </w:p>
    <w:p>
      <w:pPr>
        <w:ind w:left="420"/>
      </w:pPr>
      <w:r>
        <w:t xml:space="preserve">4. Angaben zum Vorliegen der Voraussetzungen des § 109;</w:t>
      </w:r>
    </w:p>
    <w:p>
      <w:pPr>
        <w:ind w:left="420"/>
      </w:pPr>
      <w:r>
        <w:t xml:space="preserve">5. sofern einschlägig, Angaben zur Gegenleistung oder Ausgleichsverbindlichkeit nach § 111;</w:t>
      </w:r>
    </w:p>
    <w:p>
      <w:pPr>
        <w:ind w:left="420"/>
      </w:pPr>
      <w:r>
        <w:t xml:space="preserve">6. sofern bereits bekannt, Angaben nach § 142;</w:t>
      </w:r>
    </w:p>
    <w:p>
      <w:pPr>
        <w:ind w:left="420"/>
      </w:pPr>
      <w:r>
        <w:t xml:space="preserve">7. Vorbehalte einer Rückübertragung nach den §§ 131 und 135.</w:t>
      </w:r>
    </w:p>
    <w:p>
      <w:r>
        <w:t xml:space="preserve">(2) Sieht die Abwicklungsanordnung vor, dass dem Institut oder dem gruppenangehörigen Unternehmen als Gegenleistung Anteile am übernehmenden Rechtsträger zu gewähren sind, muss sie folgende Angaben enthalten:</w:t>
      </w:r>
    </w:p>
    <w:p>
      <w:pPr>
        <w:ind w:left="420"/>
      </w:pPr>
      <w:r>
        <w:t xml:space="preserve">1. Angaben zur Ausstattung und zur Anzahl der zu gewährenden Anteile am übernehmenden Rechtsträger;</w:t>
      </w:r>
    </w:p>
    <w:p>
      <w:pPr>
        <w:ind w:left="420"/>
      </w:pPr>
      <w:r>
        <w:t xml:space="preserve">2. Angaben zur Bestimmung des Werts der Gesamtheit der Übertragungsgegenstände zum Zeitpunkt des § 114, insbesondere hinsichtlich der Bestimmung von Ausstattung und Anzahl der als Gegenleistung gewährten Anteile, und</w:t>
      </w:r>
    </w:p>
    <w:p>
      <w:pPr>
        <w:ind w:left="420"/>
      </w:pPr>
      <w:r>
        <w:t xml:space="preserve">3. Angaben zu den Methoden und den Annahmen, die der Bestimmung des Werts nach Nummer 2 zugrunde gelegt wurden.</w:t>
      </w:r>
    </w:p>
    <w:p>
      <w:r>
        <w:t xml:space="preserve">Besteht die Gegenleistung aus Schuldtiteln des übernehmenden Rechtsträgers, gilt Satz 1 entsprechend. Besteht die Gegenleistung aus einer Geldleistung, ist anstelle der Angaben nach Satz 1 der Umfang der zu gewährenden Geldleistung anzugeben. Ist eine Ausgleichsverbindlichkeit vorgesehen, ist anstelle der Angaben nach Satz 1 der Betrag des Ausgleichs anzugeben. Wird eine vorläufige Gegenleistung oder Ausgleichsverbindlichkeit festgesetzt, ist anstelle der Angaben nach Satz 1 Nummer 2 und 3 auf die Vorläufigkeit und auf das Verfahren zur Bestimmung der endgültigen Gegenleistung oder Ausgleichsverbindlichkeit hinzuweisen.</w:t>
      </w:r>
    </w:p>
    <w:p>
      <w:r>
        <w:t xml:space="preserve">(3) Sieht die Abwicklungsanordnung die Anwendung des Instruments der Beteiligung der Inhaber relevanter Kapitalinstrumente oder des Instruments der Gläubigerbeteiligung vor, muss sie mindestens folgende Angaben enthalten:</w:t>
      </w:r>
    </w:p>
    <w:p>
      <w:pPr>
        <w:ind w:left="420"/>
      </w:pPr>
      <w:r>
        <w:t xml:space="preserve">1. Angaben zu der Anwendung der Instrumente auf die Anteilsinhaber und Inhaber von anderen Instrumenten des harten Kernkapitals;</w:t>
      </w:r>
    </w:p>
    <w:p>
      <w:pPr>
        <w:ind w:left="420"/>
      </w:pPr>
      <w:r>
        <w:t xml:space="preserve">2. Angaben zu der prozentualen Höhe der Herabschreibung von Inhabern von relevanten Kapitalinstrumenten;</w:t>
      </w:r>
    </w:p>
    <w:p>
      <w:pPr>
        <w:ind w:left="420"/>
      </w:pPr>
      <w:r>
        <w:t xml:space="preserve">3. Angaben zu der prozentualen Höhe der Herabschreibung von bail-in-fähigen Verbindlichkeiten, gruppiert nach Kategorien von Verbindlichkeiten;</w:t>
      </w:r>
    </w:p>
    <w:p>
      <w:pPr>
        <w:ind w:left="420"/>
      </w:pPr>
      <w:r>
        <w:t xml:space="preserve">4. Angaben zu der Umwandlung von bail-in-fähigen Verbindlichkeiten und von relevanten Kapitalinstrumenten;</w:t>
      </w:r>
    </w:p>
    <w:p>
      <w:pPr>
        <w:ind w:left="420"/>
      </w:pPr>
      <w:r>
        <w:t xml:space="preserve">5. Angaben zu den Anteilsinhabern und den Inhabern von anderen Instrumenten des harten Kernkapitals nach Ausübung des Instruments der Gläubigerbeteiligung.</w:t>
      </w:r>
    </w:p>
    <w:p>
      <w:r>
        <w:t xml:space="preserve">(4) Wenn die Abwicklungsanordnung gesellschaftsrechtliche Maßnahmen enthält, die eintragungspflichtig sind, sind diese im Verwaltungsakt gesondert aufzuführen. Soweit in § 115 Absatz 2 und 4 nichts Abweichendes geregelt ist, ist die Abwicklungsbehörde berechtigt, die erforderlichen Eintragungen beim Registergericht zu beantragen. Die Eintragung ist für die Wirksamkeit der Maßnahmen nicht konstitutiv.</w:t>
      </w:r>
    </w:p>
    <w:p>
      <w:r>
        <w:rPr>
          <w:color w:val="555555"/>
          <w:sz w:val="17"/>
        </w:rPr>
        <w:t xml:space="preserve">Zitiervorschlag: § 136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