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SAG — Verfassung der Vermögensverwaltungsgesellschaft</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Vermögensverwaltungsgesellschaft kann nur ein Rechtsträger sein,</w:t>
      </w:r>
    </w:p>
    <w:p>
      <w:pPr>
        <w:ind w:left="420"/>
      </w:pPr>
      <w:r>
        <w:t xml:space="preserve">1. dessen Anteile entweder ganz oder teilweise von der Abwicklungsbehörde oder einer anderen öffentlichen Stelle gehalten werden,</w:t>
      </w:r>
    </w:p>
    <w:p>
      <w:pPr>
        <w:ind w:left="420"/>
      </w:pPr>
      <w:r>
        <w:t xml:space="preserve">2. der von der Abwicklungsbehörde auf Grund gesellschaftsrechtlicher, vertraglicher oder hoheitlicher Einflussmöglichkeiten kontrolliert wird und</w:t>
      </w:r>
    </w:p>
    <w:p>
      <w:pPr>
        <w:ind w:left="420"/>
      </w:pPr>
      <w:r>
        <w:t xml:space="preserve">3. der als Vermögensverwaltungsgesellschaft für die Zwecke nach § 107 Absatz 1 Nummer 2 gegründet wurde.</w:t>
      </w:r>
    </w:p>
    <w:p>
      <w:r>
        <w:t xml:space="preserve">(2) § 128 Absatz 2 ist entsprechend anzuwenden. Ist § 25a des Kreditwesengesetzes auf die Vermögensverwaltungsgesellschaft nicht anzuwenden, so gilt anstelle einer entsprechenden Anwendung der Regelung in § 128 Absatz 2 Satz 1 Nummer 4, dass das Risikomanagement einschließlich der entsprechenden Strategien, die die Vermögensverwaltungsgesellschaft verfolgt, der Einwilligung der Abwicklungsbehörde bedarf.</w:t>
      </w:r>
    </w:p>
    <w:p>
      <w:r>
        <w:t xml:space="preserve">(3) In der Satzung oder im Gesellschaftsvertrag ist als Gesellschaftszweck zu bestimmen, dass die Vermögensverwaltungsgesellschaft mit der Verwaltung der Übertragungsgegenstände mit dem Ziel betraut ist, die Verwertungserlöse durch Veräußerung oder geordnete Abwicklung zu maximieren.</w:t>
      </w:r>
    </w:p>
    <w:p>
      <w:r>
        <w:t xml:space="preserve">(4) Nachdem das Instrument der Übertragung auf ein Brückeninstitut angewendet wurde, können Gegenstände vom Brückeninstitut durch Rechtsgeschäft auf eine Vermögensverwaltungsgesellschaft übertragen werden. § 129 Absatz 1 findet entsprechende Anwendung, wobei es keines neuen Vermarktungsprozesses bedarf, wenn</w:t>
      </w:r>
    </w:p>
    <w:p>
      <w:pPr>
        <w:ind w:left="420"/>
      </w:pPr>
      <w:r>
        <w:t xml:space="preserve">1. die Vermögensverwaltungsgesellschaft am Vermarktungsprozess teilgenommen hat oder</w:t>
      </w:r>
    </w:p>
    <w:p>
      <w:pPr>
        <w:ind w:left="420"/>
      </w:pPr>
      <w:r>
        <w:t xml:space="preserve">2. die Übertragung auf die Vermögensverwaltungsgesellschaft zu Bedingungen erfolgt, die bei wertender Betrachtung denen des wirtschaftlichsten Gebots entsprechen, das im Rahmen des Vermarktungsprozesses eingegangen ist.</w:t>
      </w:r>
    </w:p>
    <w:p>
      <w:r>
        <w:t xml:space="preserve">(5) Die Geschäftsleiter der Vermögensverwaltungsgesellschaft haften für Vorsatz und grobe Fahrlässigkeit. § 31 des Bürgerlichen Gesetzbuchs ist auf die Vermögensverwaltungsgesellschaft nicht anzuwenden.</w:t>
      </w:r>
    </w:p>
    <w:p>
      <w:r>
        <w:rPr>
          <w:color w:val="555555"/>
          <w:sz w:val="17"/>
        </w:rPr>
        <w:t xml:space="preserve">Zitiervorschlag: § 133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