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SAG — Zusätzliche Anwendungsvoraussetzungen; Verordnungsermächtigung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Abwicklungsbehörde kann das Instrument der Übertragung auf eine Vermögensverwaltungsgesellschaft nur anwenden, wenn</w:t>
      </w:r>
    </w:p>
    <w:p>
      <w:pPr>
        <w:ind w:left="420"/>
      </w:pPr>
      <w:r>
        <w:t xml:space="preserve">1. eine Verwertung der betreffenden zu übertragenden Übertragungsgegenstände im Rahmen eines Insolvenzverfahrens angesichts der Lage auf dem Markt negative Auswirkungen auf einen Finanzmarkt oder mehrere Finanzmärkte haben könnte,</w:t>
      </w:r>
    </w:p>
    <w:p>
      <w:pPr>
        <w:ind w:left="420"/>
      </w:pPr>
      <w:r>
        <w:t xml:space="preserve">2. die Übertragung erforderlich ist, um das ordnungsgemäße Funktionieren des in Abwicklung befindlichen Instituts oder des Brückeninstituts sicherzustellen, oder</w:t>
      </w:r>
    </w:p>
    <w:p>
      <w:pPr>
        <w:ind w:left="420"/>
      </w:pPr>
      <w:r>
        <w:t xml:space="preserve">3. die Übertragung erforderlich ist, um die entsprechenden Verwertungserlöse zu maximieren.</w:t>
      </w:r>
    </w:p>
    <w:p>
      <w:r>
        <w:t xml:space="preserve">(2) Das Bundesministerium der Finanzen wird ermächtigt, durch Rechtsverordnung, die nicht der Zustimmung des Bundesrates bedarf, nähere Bestimmungen darüber zu erlassen, unter welchen Umständen eine Verwertung der Übertragungsgegenstände im Rahmen eines Insolvenzverfahrens negative Auswirkungen auf einen oder mehrere Finanzmärkte im Sinne des Absatzes 1 Nummer 1 haben könnte. Das Bundesministerium der Finanzen kann die Ermächtigung durch Rechtsverordnung auf die Abwicklungsbehörde übertragen.</w:t>
      </w:r>
    </w:p>
    <w:p>
      <w:r>
        <w:rPr>
          <w:color w:val="555555"/>
          <w:sz w:val="17"/>
        </w:rPr>
        <w:t xml:space="preserve">Zitiervorschlag: § 132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