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SAG — Ausgestaltung von Sanierungsplänen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Ausgestaltung des Sanierungsplans ist abhängig von Größe, Komplexität und Vernetzung des Instituts oder der Gruppe sowie von Art, Umfang und Komplexität des Geschäftsmodells und des damit einhergehenden Risikos.</w:t>
      </w:r>
    </w:p>
    <w:p>
      <w:r>
        <w:t xml:space="preserve">(2) Neben den Anforderungen an die Sanierungsplanung der Delegierten Verordnung (EU) 2016/1075 der Kommission vom 23. März 2016 zur Ergänzung der Richtlinie 2014/59/EU des Europäischen Parlaments und des Rates durch technische Regulierungsstandards, in denen der Inhalt von Sanierungsplänen, Abwicklungsplänen und Gruppenabwicklungsplänen, die Mindestkriterien, anhand deren die zuständige Behörde Sanierungs- und Gruppensanierungspläne zu bewerten hat, die Voraussetzungen für gruppeninterne finanzielle Unterstützung, die Anforderungen an die Unabhängigkeit der Bewerter, die vertragliche Anerkennung von Herabschreibungs- und Umwandlungsbefugnissen, die Verfahren und Inhalte von Mitteilungen und Aussetzungsbekanntmachungen und die konkrete Arbeitsweise der Abwicklungskollegien festgelegt wird (ABl. L 184 vom 8.7.2016, S. 1) hat der Sanierungsplan insbesondere folgende wesentliche Bestandteile zu enthalten:</w:t>
      </w:r>
    </w:p>
    <w:p>
      <w:pPr>
        <w:ind w:left="420"/>
      </w:pPr>
      <w:r>
        <w:t xml:space="preserve">1. eine Zusammenfassung der wesentlichen Inhalte des Sanierungsplans einschließlich einer Bewertung der Sanierungsfähigkeit des Instituts oder der Gruppe;</w:t>
      </w:r>
    </w:p>
    <w:p>
      <w:pPr>
        <w:ind w:left="420"/>
      </w:pPr>
      <w:r>
        <w:t xml:space="preserve">2. eine strategische Analyse des Instituts oder der Gruppe, die Folgendes zu enthalten hat:</w:t>
      </w:r>
    </w:p>
    <w:p>
      <w:pPr>
        <w:ind w:left="780"/>
      </w:pPr>
      <w:r>
        <w:t xml:space="preserve">a) eine Darstellung der Unternehmensstruktur und des Geschäftsmodells,</w:t>
      </w:r>
    </w:p>
    <w:p>
      <w:pPr>
        <w:ind w:left="780"/>
      </w:pPr>
      <w:r>
        <w:t xml:space="preserve">b) die Benennung der wesentlichen Geschäftsaktivitäten und kritischen Funktionen sowie</w:t>
      </w:r>
    </w:p>
    <w:p>
      <w:pPr>
        <w:ind w:left="780"/>
      </w:pPr>
      <w:r>
        <w:t xml:space="preserve">c) eine Beschreibung der internen und externen Vernetzungsstrukturen;</w:t>
      </w:r>
    </w:p>
    <w:p>
      <w:pPr>
        <w:ind w:left="420"/>
      </w:pPr>
      <w:r>
        <w:t xml:space="preserve">3. eine Darstellung, welche Handlungsoptionen dem Institut oder der Gruppe zur Verfügung stehen, um im Krisenfall die finanzielle Stabilität zu sichern oder wiederherzustellen;</w:t>
      </w:r>
    </w:p>
    <w:p>
      <w:pPr>
        <w:ind w:left="420"/>
      </w:pPr>
      <w:r>
        <w:t xml:space="preserve">4. eine Analyse der Auswirkungen jeder der dargestellten Handlungsoptionen auf das Institut oder die Gruppe sowie der Auswirkungen der Handlungsoptionen auf die Fortführung von kritischen Funktionen sowie der Auswirkungen auf andere Marktteilnehmer, Gläubiger und Anteilsinhaber; in diesem Zusammenhang sind auch die Folgen der Handlungsoptionen für die Arbeitnehmer und ihre Vertretungen zu beschreiben;</w:t>
      </w:r>
    </w:p>
    <w:p>
      <w:pPr>
        <w:ind w:left="420"/>
      </w:pPr>
      <w:r>
        <w:t xml:space="preserve">5. eine Analyse der Umsetzbarkeit der dargestellten Handlungsoptionen, einschließlich der möglichen Umsetzungshindernisse, sowie eine Darstellung, ob und wie diese Hindernisse überwunden werden können;</w:t>
      </w:r>
    </w:p>
    <w:p>
      <w:pPr>
        <w:ind w:left="420"/>
      </w:pPr>
      <w:r>
        <w:t xml:space="preserve">6. die Festlegung von qualitativen und quantitativen Indikatoren, die eine rechtzeitige Durchführung von Handlungsoptionen zur Sicherstellung oder Wiederherstellung der finanziellen Stabilität des Instituts oder der Gruppe dergestalt ermöglichen, dass der Krisenfall aus eigener Kraft und ohne Stabilisierungsmaßnahmen der öffentlichen Hand überwunden werden kann; in diesem Zusammenhang ist auch ein Eskalations- und Informationsprozess zu definieren, der sicherstellt, dass die Geschäftsleiterebene rechtzeitig und umfassend in die Entscheidungen eingebunden wird; in dem Sanierungsplan ist ebenfalls vorzusehen, wann und wie die Aufsichtsbehörde im Rahmen des Eskalations- und Informationsprozesses beim Erreichen von Schwellenwerten der Indikatoren informiert wird;</w:t>
      </w:r>
    </w:p>
    <w:p>
      <w:pPr>
        <w:ind w:left="420"/>
      </w:pPr>
      <w:r>
        <w:t xml:space="preserve">7. eine Darstellung von Szenarien für schwerwiegende Belastungen, die einen Krisenfall auslösen können, und deren Auswirkungen auf das Institut oder die Gruppe; die Belastungsszenarien sollen sowohl systemweite Ereignisse als auch das einzelne Institut oder die ganze Gruppe betreffende Ereignisse beinhalten, welche die instituts- oder gruppenspezifischen Gefährdungspotenziale abbilden;</w:t>
      </w:r>
    </w:p>
    <w:p>
      <w:pPr>
        <w:ind w:left="420"/>
      </w:pPr>
      <w:r>
        <w:t xml:space="preserve">8. eine Prüfung der Wirksamkeit und Umsetzbarkeit des Sanierungsplans anhand der Belastungsszenarien;</w:t>
      </w:r>
    </w:p>
    <w:p>
      <w:pPr>
        <w:ind w:left="420"/>
      </w:pPr>
      <w:r>
        <w:t xml:space="preserve">9. ein Kommunikations- und Informationskonzept, in dem die interne und die externe Kommunikation unter Berücksichtigung der für bestimmte Handlungsoptionen geltenden Besonderheiten dargelegt wird;</w:t>
      </w:r>
    </w:p>
    <w:p>
      <w:pPr>
        <w:ind w:left="420"/>
      </w:pPr>
      <w:r>
        <w:t xml:space="preserve">10. eine Aufstellung der vorbereitenden Maßnahmen, die das Institut oder die Gruppe getroffen hat oder zu treffen beabsichtigt, um die Umsetzung des Sanierungsplans zu erleichtern.</w:t>
      </w:r>
    </w:p>
    <w:p>
      <w:r>
        <w:t xml:space="preserve">(3) Der Sanierungsplan darf nicht von der Möglichkeit des Zugangs zu einer außerordentlichen finanziellen Unterstützung aus öffentlichen Mitteln oder vom Erhalt einer solchen Unterstützung ausgehen. In dem Sanierungsplan ist jedoch zu analysieren, wie und wann das Institut in einer Krisensituation die Nutzung von Zentralbankfazilitäten beantragen könnte und sind Vermögenspositionen zu ermitteln, die als Sicherheit herangezogen werden könnten.</w:t>
      </w:r>
    </w:p>
    <w:p>
      <w:r>
        <w:t xml:space="preserve">(4) Weiterhin hat der Sanierungsplan folgende Anforderungen zu erfüllen:</w:t>
      </w:r>
    </w:p>
    <w:p>
      <w:pPr>
        <w:ind w:left="420"/>
      </w:pPr>
      <w:r>
        <w:t xml:space="preserve">1. die Umsetzung der in dem Sanierungsplan vorgesehenen Maßnahmen ist, unter Berücksichtigung der vom betreffenden Institut getroffenen oder geplanten vorbereitenden Maßnahmen gemäß Absatz 2 Nummer 10, mit überwiegender Wahrscheinlichkeit geeignet, die Überlebensfähigkeit und finanzielle Solidität des Instituts oder der Gruppe nachhaltig zu sichern oder wiederherzustellen;</w:t>
      </w:r>
    </w:p>
    <w:p>
      <w:pPr>
        <w:ind w:left="420"/>
      </w:pPr>
      <w:r>
        <w:t xml:space="preserve">2. der Sanierungsplan und die Handlungsoptionen können mit überwiegender Wahrscheinlichkeit im Krisenfall schnell und wirksam umgesetzt werden, so dass wesentliche negative Auswirkungen auf das Finanzsystem, auch in Fällen, in denen andere Institute im selben Zeitraum Sanierungspläne umsetzen, so weit wie möglich vermieden werden.</w:t>
      </w:r>
    </w:p>
    <w:p>
      <w:r>
        <w:t xml:space="preserve">Der Sanierungsplan muss die Erfüllung der in Satz 1 Nummer 1 und 2 genannten Anforderungen nachvollziehbar darlegen.</w:t>
      </w:r>
    </w:p>
    <w:p>
      <w:r>
        <w:t xml:space="preserve">(5) Jeder Geschäftsleiter ist, unabhängig von der internen Zuständigkeitsregelung, für die Erstellung, die Implementierung und die Aktualisierung des Sanierungsplans sowie für dessen Umsetzung im Krisenfall verantwortlich.</w:t>
      </w:r>
    </w:p>
    <w:p>
      <w:r>
        <w:t xml:space="preserve">(6) Die Aufsichtsbehörde kann im Benehmen mit der Abwicklungsbehörde von Instituten oder dem übergeordneten Unternehmen einer Gruppe die Führung detaillierter Aufzeichnungen in einer zentralen Datenbank über Finanzkontrakte verlangen, bei denen das betreffende Institut Vertragspartei ist.</w:t>
      </w:r>
    </w:p>
    <w:p>
      <w:r>
        <w:rPr>
          <w:color w:val="555555"/>
          <w:sz w:val="17"/>
        </w:rPr>
        <w:t xml:space="preserve">Zitiervorschlag: § 13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