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SAG — Verfassung des Brückeninstituts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Brückeninstitut kann nur ein Rechtsträger sein,</w:t>
      </w:r>
    </w:p>
    <w:p>
      <w:pPr>
        <w:ind w:left="420"/>
      </w:pPr>
      <w:r>
        <w:t xml:space="preserve">1. dessen Anteile ganz oder teilweise von der Abwicklungsbehörde oder einer anderen öffentlichen Stelle gehalten werden,</w:t>
      </w:r>
    </w:p>
    <w:p>
      <w:pPr>
        <w:ind w:left="420"/>
      </w:pPr>
      <w:r>
        <w:t xml:space="preserve">2. der von der Abwicklungsbehörde auf Grund gesellschaftsrechtlicher, vertraglicher oder hoheitlicher Einflussmöglichkeiten kontrolliert wird und</w:t>
      </w:r>
    </w:p>
    <w:p>
      <w:pPr>
        <w:ind w:left="420"/>
      </w:pPr>
      <w:r>
        <w:t xml:space="preserve">3. der als Brückeninstitut für die Zwecke des § 107 Absatz 1 Nummer 1 Buchstabe b gegründet wurde.</w:t>
      </w:r>
    </w:p>
    <w:p>
      <w:r>
        <w:t xml:space="preserve">(2) Der Einwilligung der Abwicklungsbehörde bedürfen</w:t>
      </w:r>
    </w:p>
    <w:p>
      <w:pPr>
        <w:ind w:left="420"/>
      </w:pPr>
      <w:r>
        <w:t xml:space="preserve">1. der Gesellschaftsvertrag oder die Satzung, die Anmeldung der Gesellschaft, der Gründungsbericht und die Gründungsprüfung,</w:t>
      </w:r>
    </w:p>
    <w:p>
      <w:pPr>
        <w:ind w:left="420"/>
      </w:pPr>
      <w:r>
        <w:t xml:space="preserve">2. die Berufung der Geschäftsleiter und der Mitglieder des Aufsichts- oder Verwaltungsorgans des Brückeninstituts,</w:t>
      </w:r>
    </w:p>
    <w:p>
      <w:pPr>
        <w:ind w:left="420"/>
      </w:pPr>
      <w:r>
        <w:t xml:space="preserve">3. die Festlegung der Zuständigkeiten der jeweiligen Geschäftsleiter sowie die für sie geltenden Vergütungsregelungen und</w:t>
      </w:r>
    </w:p>
    <w:p>
      <w:pPr>
        <w:ind w:left="420"/>
      </w:pPr>
      <w:r>
        <w:t xml:space="preserve">4. die Geschäftsorganisation im Sinne des § 25a des Kreditwesengesetzes.</w:t>
      </w:r>
    </w:p>
    <w:p>
      <w:r>
        <w:t xml:space="preserve">Die Abwicklungsbehörde kann die Einwilligung versagen, wenn dies die Erreichung der Abwicklungsziele fördert.</w:t>
      </w:r>
    </w:p>
    <w:p>
      <w:r>
        <w:t xml:space="preserve">(3) Das Brückeninstitut ist mit dem Ziel zu betreiben,</w:t>
      </w:r>
    </w:p>
    <w:p>
      <w:pPr>
        <w:ind w:left="420"/>
      </w:pPr>
      <w:r>
        <w:t xml:space="preserve">1. den Zugang zu kritischen Funktionen zu erhalten und</w:t>
      </w:r>
    </w:p>
    <w:p>
      <w:pPr>
        <w:ind w:left="420"/>
      </w:pPr>
      <w:r>
        <w:t xml:space="preserve">2. innerhalb der gegebenenfalls verlängerten Frist nach Absatz 4 Satz 1 Nummer 3 das Brückeninstitut oder seine Vermögenswerte, Rechte und Verbindlichkeiten unter angemessenen Bedingungen an einen oder mehrere private Erwerber zu veräußern.</w:t>
      </w:r>
    </w:p>
    <w:p>
      <w:r>
        <w:t xml:space="preserve">(4) Die Abwicklungsbehörde hat festzustellen, dass ein Rechtsträger seine Eigenschaft als Brückeninstitut verliert, wenn</w:t>
      </w:r>
    </w:p>
    <w:p>
      <w:pPr>
        <w:ind w:left="420"/>
      </w:pPr>
      <w:r>
        <w:t xml:space="preserve">1. die Voraussetzungen nach Absatz 1 Nummer 1 und 2 nicht mehr erfüllt sind,</w:t>
      </w:r>
    </w:p>
    <w:p>
      <w:pPr>
        <w:ind w:left="420"/>
      </w:pPr>
      <w:r>
        <w:t xml:space="preserve">2. alle oder weitgehend alle Vermögenswerte, Rechte oder Verbindlichkeiten des Brückeninstituts an einen Dritten veräußert werden oder</w:t>
      </w:r>
    </w:p>
    <w:p>
      <w:pPr>
        <w:ind w:left="420"/>
      </w:pPr>
      <w:r>
        <w:t xml:space="preserve">3. die in den Nummern 1 und 2 genannten Ergebnisse nicht innerhalb von zwei Jahren ab dem Zeitpunkt, zu dem die letzte Übertragung nach § 107 Absatz 1 Nummer 1 Buchstabe b auf das Brückeninstitut erfolgt ist, eintreten.</w:t>
      </w:r>
    </w:p>
    <w:p>
      <w:r>
        <w:t xml:space="preserve">Die Abwicklungsbehörde kann die Frist nach Satz 1 Nummer 3 auch mehrfach jeweils um ein Jahr verlängern, wenn sie Grund zu der Annahme hat, dass sich durch die Verlängerung eines der in Satz 1 Nummer 1 und 2 genannten Ergebnisse besser erreichen lässt oder wenn eine Verlängerung erforderlich ist, um die Fortführung wesentlicher Bank- oder Finanzdienstleistungen zu gewährleisten. Die Entscheidung nach Satz 2 ist zu begründen und muss eine detaillierte Beurteilung der Lage, einschließlich der Marktbedingungen und -aussichten enthalten, die die Entscheidung rechtfertigen.</w:t>
      </w:r>
    </w:p>
    <w:p>
      <w:r>
        <w:t xml:space="preserve">(5) Stellt die Abwicklungsbehörde nach Absatz 4 Satz 1 Nummer 2 oder 3 fest, dass ein Rechtsträger seine Eigenschaft als Brückeninstitut verliert, stellt die Abwicklungsbehörde bei Vorliegen eines Insolvenzgrundes unverzüglich einen Antrag auf Eröffnung des Insolvenzverfahrens über das verbleibende Vermögen des Brückeninstituts. § 46b Absatz 1 Satz 4 des Kreditwesengesetzes gilt mit der Maßgabe, dass an die Stelle der Bundesanstalt die Abwicklungsbehörde tritt. Liegt im Fall des Satzes 1 kein Insolvenzgrund vor, veranlasst die Abwicklungsbehörde die Liquidation des Brückeninstituts.</w:t>
      </w:r>
    </w:p>
    <w:p>
      <w:r>
        <w:rPr>
          <w:color w:val="555555"/>
          <w:sz w:val="17"/>
        </w:rPr>
        <w:t xml:space="preserve">Zitiervorschlag: § 128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