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SAG — Rückübertragungen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kann innerhalb von vier Monaten nach dem Wirksamwerden der Übertragung nach § 114 anordnen, dass Gegenstände an die vorherigen Anteilsinhaber oder den übertragenden Rechtsträger zurückübertragen werden (Rückübertragungsanordnung), sofern der übernehmende Rechtsträger in die Rückübertragung einwilligt.</w:t>
      </w:r>
    </w:p>
    <w:p>
      <w:r>
        <w:t xml:space="preserve">(2) Der von einer Rückübertragungsanordnung betroffene Gegenstand gilt als von Anfang an im Vermögen des übertragenden Rechtsträgers oder des Anteilsinhabers verblieben.</w:t>
      </w:r>
    </w:p>
    <w:p>
      <w:r>
        <w:t xml:space="preserve">(3) Die Gegenleistung oder Ausgleichsverbindlichkeit nach § 111 ist anzupassen. Die §§ 109 und 113 bis 115 finden entsprechende Anwendung; an die Stelle der in § 115 Absatz 1 Satz 2 genannten Unterlagen tritt eine Ausfertigung der Rückübertragungsanordnung.</w:t>
      </w:r>
    </w:p>
    <w:p>
      <w:r>
        <w:t xml:space="preserve">(4) Der übernehmende Rechtsträger haftet für Verbindlichkeiten, die von einer Rückübertragungsanordnung betroffen sind, nur in Höhe des Betrags, den der Gläubiger im Rahmen der Abwicklung des übertragenden Rechtsträgers erlöst hätte, wenn die Rückübertragung unterblieben wäre. Die Haftung besteht nur, soweit der Gläubiger vom übertragenden Rechtsträger keine Befriedigung erlangen kann.</w:t>
      </w:r>
    </w:p>
    <w:p>
      <w:r>
        <w:rPr>
          <w:color w:val="555555"/>
          <w:sz w:val="17"/>
        </w:rPr>
        <w:t xml:space="preserve">Zitiervorschlag: § 127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