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 SAG — Vermarktungsprozess; Verordnungsermächtigung</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Beabsichtigt die Abwicklungsbehörde, im Rahmen einer Abwicklungsanordnung vom Instrument der Unternehmensveräußerung Gebrauch zu machen, leitet sie rechtzeitig vor Erlass der Abwicklungsanordnung einen Vermarktungsprozess ein. Der Vermarktungsprozess bezieht sich auf die Übertragungsgegenstände, welche die Abwicklungsbehörde zu übertragen beabsichtigt. Die Abwicklungsbehörde kann die Übertragungsgegenstände einzeln oder mehrere Übertragungsgegenstände gemeinsam vermarkten.</w:t>
      </w:r>
    </w:p>
    <w:p>
      <w:r>
        <w:t xml:space="preserve">(2) Der Vermarktungsprozess nach Absatz 1 muss folgende Grundsätze einhalten:</w:t>
      </w:r>
    </w:p>
    <w:p>
      <w:pPr>
        <w:ind w:left="420"/>
      </w:pPr>
      <w:r>
        <w:t xml:space="preserve">1. er muss unter Berücksichtigung der Umstände des Einzelfalls und der Wahrung der Finanzmarktstabilität offen und so transparent wie möglich sein;</w:t>
      </w:r>
    </w:p>
    <w:p>
      <w:pPr>
        <w:ind w:left="420"/>
      </w:pPr>
      <w:r>
        <w:t xml:space="preserve">2. er darf nicht diskriminierend sein, sodass weder eine unangemessene Begünstigung noch eine unangemessene Benachteiligung potentieller Erwerber stattfindet und keinem potentiellen Erwerber ein unlauterer Vorteil gewährt wird;</w:t>
      </w:r>
    </w:p>
    <w:p>
      <w:pPr>
        <w:ind w:left="420"/>
      </w:pPr>
      <w:r>
        <w:t xml:space="preserve">3. Interessenkonflikte sind, soweit möglich, zu vermeiden; § 21 des Verwaltungsverfahrensgesetzes ist entsprechend anzuwenden;</w:t>
      </w:r>
    </w:p>
    <w:p>
      <w:pPr>
        <w:ind w:left="420"/>
      </w:pPr>
      <w:r>
        <w:t xml:space="preserve">4. es ist der Notwendigkeit einer raschen Durchführung der Abwicklungsmaßnahme Rechnung zu tragen;</w:t>
      </w:r>
    </w:p>
    <w:p>
      <w:pPr>
        <w:ind w:left="420"/>
      </w:pPr>
      <w:r>
        <w:t xml:space="preserve">5. es ist eine möglichst hohe Gegenleistung für die betroffenen Übertragungsgegenstände anzustreben.</w:t>
      </w:r>
    </w:p>
    <w:p>
      <w:r>
        <w:t xml:space="preserve">Vorbehaltlich des Satzes 1 Nummer 2 kann die Abwicklungsbehörde gezielt an bestimmte potentielle Erwerber herantreten. Stellt die Vermarktungsabsicht eine Insiderinformation dar, kann eine Veröffentlichung nach Artikel 17 Absatz 1 der Verordnung (EU) Nr. 596/2014 des Europäischen Parlaments und des Rates vom 16. April 2014 über Marktmissbrauch (Marktmissbrauchsverordnung) und zur Aufhebung der Richtlinie 2003/6/EG des Europäischen Parlaments und des Rates und der Richtlinien 2003/124/EG, 2003/125/EG und 2004/72/EG der Kommission (ABl. L 173 vom 12.6.2014, S. 1) in der jeweils geltenden Fassung nach Maßgabe von Artikel 17 Absatz 4 oder Absatz 5 der Verordnung (EU) Nr. 596/2014 aufgeschoben werden.</w:t>
      </w:r>
    </w:p>
    <w:p>
      <w:r>
        <w:t xml:space="preserve">(3) Abweichend von Absatz 1 kann die Abwicklungsbehörde das Instrument der Unternehmensveräußerung anwenden, ohne einen Vermarktungsprozess durchzuführen, wenn sie zu der Einschätzung gelangt, dass die Einhaltung der Anforderungen an den Vermarktungsprozess wahrscheinlich die Effektivität des Instruments der Unternehmensveräußerung und damit das Erreichen eines oder mehrerer Abwicklungsziele beeinträchtigt.</w:t>
      </w:r>
    </w:p>
    <w:p>
      <w:r>
        <w:t xml:space="preserve">(4) Weicht der in einem Vermarktungsprozess erzielte positive oder negative Kaufpreis von dem nach § 69 ermittelten Wert ab, so können die Verfahrensbeteiligten oder Dritte daraus keine Rechte ableiten. Insbesondere wird die Entscheidung der Abwicklungsbehörde für die Wahl des Instruments der Unternehmensveräußerung nicht allein auf Grund einer solchen Abweichung ermessensfehlerhaft.</w:t>
      </w:r>
    </w:p>
    <w:p>
      <w:r>
        <w:t xml:space="preserve">(5) Das Bundesministerium der Finanzen wird ermächtigt, durch Rechtsverordnung, die nicht der Zustimmung des Bundesrates bedarf, nähere Bestimmungen zu erlassen über die Umstände, unter denen die Abwicklungsbehörde nach Absatz 3 von der Durchführung eines Vermarktungsprozesses absehen kann. Das Bundesministerium der Finanzen kann die Ermächtigung durch Rechtsverordnung auf die Abwicklungsbehörde übertragen.</w:t>
      </w:r>
    </w:p>
    <w:p>
      <w:r>
        <w:rPr>
          <w:color w:val="555555"/>
          <w:sz w:val="17"/>
        </w:rPr>
        <w:t xml:space="preserve">Zitiervorschlag: § 126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