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119 SAG — Inländische Erlaubnis-, Zulassungs- und Genehmigungsverfahren</w:t>
      </w:r>
    </w:p>
    <w:p>
      <w:r>
        <w:rPr>
          <w:color w:val="555555"/>
          <w:sz w:val="18"/>
        </w:rPr>
        <w:t xml:space="preserve">Sanierungs- und Abwicklungsgesetz</w:t>
      </w:r>
    </w:p>
    <w:p>
      <w:r>
        <w:rPr>
          <w:color w:val="555555"/>
          <w:sz w:val="18"/>
        </w:rPr>
        <w:t xml:space="preserve">Stand: 10.06.2019 (konsolidierte Textfassung, kein amtliches Inkrafttretensdatum)</w:t>
      </w:r>
    </w:p>
    <w:p>
      <w:r>
        <w:t xml:space="preserve">(1) Die Abwicklungsbehörde informiert die Aufsichtsbehörde und die weiteren betroffenen Behörden im Inland, wenn ihr bekannt ist, dass der übernehmende Rechtsträger noch nicht über die erforderlichen Erlaubnisse, Zulassungen oder Genehmigungen verfügt.</w:t>
      </w:r>
    </w:p>
    <w:p>
      <w:r>
        <w:t xml:space="preserve">(2) Die Abwicklungsanordnung gilt im Inland als Antrag auf Erteilung der Erlaubnis, Zulassung oder Genehmigung; der Antrag ist unverzüglich zu bescheiden. Ein Antrag nach Satz 1 soll von der betroffenen Behörde positiv beschieden werden, wenn der übertragende Rechtsträger über die entsprechende Erlaubnis, Zulassung oder Genehmigung verfügte und keine offensichtlichen Gründe vorliegen, dem übernehmenden Rechtsträger die Erlaubnis, Zulassung oder Genehmigung zu versagen. Beabsichtigt die Aufsichtsbehörde oder eine andere betroffene Behörde, den Antrag nach Satz 1 abzulehnen, so informiert sie die Abwicklungsbehörde unverzüglich und setzt sie von ihren Gründen in Kenntnis. Die betroffene Behörde und die Abwicklungsbehörde arbeiten gemeinsam mit dem übertragenden und dem übernehmenden Rechtsträger an einer Lösung, die den Abwicklungszielen und der Notwendigkeit einer zeitnahen Entscheidung Rechnung trägt.</w:t>
      </w:r>
    </w:p>
    <w:p>
      <w:r>
        <w:t xml:space="preserve">(3) Bis zur endgültigen Erteilung der erforderlichen Erlaubnis, Zulassung oder Genehmigung oder bis zu der Feststellung, dass eine solche Erlaubnis, Zulassung oder Genehmigung doch nicht erforderlich ist, gilt die dem übertragenden Rechtsträger erteilte Erlaubnis, Zulassung oder Genehmigung als dem übernehmenden Rechtsträger erteilt. Bedarf der übernehmende Rechtsträger einer Erlaubnis nach § 32 des Kreditwesengesetzes, gibt die Aufsichtsbehörde nach Prüfung des Antrags abweichend von Satz 1 dem übernehmenden Rechtsträger den Zeitraum bekannt, innerhalb dessen er Geschäfte entsprechend Satz 1 betreiben darf, wenn die Aufsichtsbehörde beabsichtigt, die Erlaubnis zu erteilen.</w:t>
      </w:r>
    </w:p>
    <w:p>
      <w:r>
        <w:rPr>
          <w:color w:val="555555"/>
          <w:sz w:val="17"/>
        </w:rPr>
        <w:t xml:space="preserve">Zitiervorschlag: § 119 SAG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https://recht.nulegal.eu/gesetze/SAG/119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