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SAG — Übertragungsgegenstände, die ausländischem Recht unterliegen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Unterliegen Übertragungsgegenstände ausländischem Recht und werden danach die Rechtswirkungen der Abwicklungsanordnung nicht oder nicht vollständig anerkannt, ist der übertragende Rechtsträger verpflichtet, darauf hinzuwirken, dass sämtliche Maßnahmen getroffen werden, die nach dem ausländischen Recht für den Rechtsübergang auf den übernehmenden Rechtsträger erforderlich sind.</w:t>
      </w:r>
    </w:p>
    <w:p>
      <w:r>
        <w:t xml:space="preserve">(2) In den Fällen des Absatzes 1 sind der übertragende Rechtsträger und der übernehmende Rechtsträger bis zum Rechtsübergang verpflichtet, einander in Bezug auf die hiervon betroffenen Übertragungsgegenstände so zu stellen, als wäre der Rechtsübergang nach den Vorschriften der ausländischen Rechtsordnung erfolgt. Zu diesem Zweck hat</w:t>
      </w:r>
    </w:p>
    <w:p>
      <w:pPr>
        <w:ind w:left="420"/>
      </w:pPr>
      <w:r>
        <w:t xml:space="preserve">1. der übertragende Rechtsträger die betroffenen Übertragungsgegenstände für Rechnung und im Interesse des übernehmenden Rechtsträgers, dessen Weisungen er unterliegt, zu verwalten;</w:t>
      </w:r>
    </w:p>
    <w:p>
      <w:pPr>
        <w:ind w:left="420"/>
      </w:pPr>
      <w:r>
        <w:t xml:space="preserve">2. der übernehmende Rechtsträger den übertragenden Rechtsträger von den Aufwendungen, die im Zusammenhang mit den betroffenen Übertragungsgegenständen anfallen, freizustellen;</w:t>
      </w:r>
    </w:p>
    <w:p>
      <w:pPr>
        <w:ind w:left="420"/>
      </w:pPr>
      <w:r>
        <w:t xml:space="preserve">3. der übertragende Rechtsträger das aus der Verwaltung des betroffenen Übertragungsgegenstands Erlangte an den übernehmenden Rechtsträger herauszugeben.</w:t>
      </w:r>
    </w:p>
    <w:p>
      <w:r>
        <w:t xml:space="preserve">(3) Übertragungsgegenstände, deren Übertragung nach Absatz 1 durch die ausländische Rechtsordnung nicht anerkannt wird, gehören in einem Insolvenzverfahren über das Vermögen des übertragenden Rechtsträgers nicht zur Insolvenzmasse. Die Gläubiger von Forderungen gegen den übertragenden Rechtsträger, deren Übertragung nach Absatz 1 durch die ausländische Rechtsordnung nicht anerkannt wird, können ihre Ansprüche nicht gegen den übertragenden Rechtsträger geltend machen. Ansprüche und Verpflichtungen nach den Absätzen 1 und 2 bleiben von einem solchen Insolvenzverfahren unberührt. Rechtshandlungen, die der Erfüllung dieser Ansprüche und Verpflichtungen dienen, sind weder innerhalb noch außerhalb dieses Insolvenzverfahrens anfechtbar.</w:t>
      </w:r>
    </w:p>
    <w:p>
      <w:r>
        <w:t xml:space="preserve">(4) Bestehen Zweifel daran, ob die Rechtswirkungen der Abwicklungsanordnung nach ausländischem Recht anerkannt werden, sind die Absätze 1 bis 3 entsprechend anzuwenden.</w:t>
      </w:r>
    </w:p>
    <w:p>
      <w:r>
        <w:rPr>
          <w:color w:val="555555"/>
          <w:sz w:val="17"/>
        </w:rPr>
        <w:t xml:space="preserve">Zitiervorschlag: § 117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