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116 SAG — Insolvenzantragspflicht; Haftung des übernehmenden Rechtsträgers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Werden die in § 107 Absatz 1 Nummer 1 genannten Abwicklungsinstrumente angewendet, stellt die Abwicklungsbehörde bei Vorliegen eines Insolvenzgrundes unverzüglich einen Antrag auf Eröffnung des Insolvenzverfahrens über das verbleibende Vermögen des übertragenden Rechtsträgers. § 46b Absatz 1 Satz 4 des Kreditwesengesetzes gilt mit der Maßgabe entsprechend, dass die Abwicklungsbehörde an die Stelle der Bundesanstalt tritt. Liegt im Fall des Satzes 1 kein Insolvenzgrund vor, veranlasst die Abwicklungsbehörde die Liquidation des übertragenden Rechtsträgers.</w:t>
      </w:r>
    </w:p>
    <w:p>
      <w:r>
        <w:t xml:space="preserve">(2) In allen Fällen des § 107 gehören Übertragungsgegenstände in einem Insolvenzverfahren über das Vermögen des übertragenden Rechtsträgers nicht zur Insolvenzmasse. Der übernehmende Rechtsträger haftet nicht für von der Übertragung nicht erfasste Verbindlichkeiten des übertragenden Rechtsträgers.</w:t>
      </w:r>
    </w:p>
    <w:p>
      <w:r>
        <w:rPr>
          <w:color w:val="555555"/>
          <w:sz w:val="17"/>
        </w:rPr>
        <w:t xml:space="preserve">Zitiervorschlag: § 116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https://recht.nulegal.eu/gesetze/SAG/116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