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SAG — Eintragung der Übertragung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Ist Übertragungsgegenstand ein Teil oder die Gesamtheit des Vermögens eines in Abwicklung befindlichen Instituts oder gruppenangehörigen Unternehmens einschließlich seiner Verbindlichkeiten, haben der übertragende und der übernehmende Rechtsträger die Übertragung unverzüglich zur Eintragung in das Register ihres jeweiligen Sitzes anzumelden. Den Anmeldungen ist neben der Schlussbilanz eine Ausfertigung der Abwicklungsanordnung beizufügen. In den Fällen des § 107 Absatz 1 Nummer 1 Buchstabe a ist auch die notariell beurkundete Einwilligungserklärung des übernehmenden Rechtsträgers nach § 109 Absatz 1 Satz 3 beizufügen.</w:t>
      </w:r>
    </w:p>
    <w:p>
      <w:r>
        <w:t xml:space="preserve">(2) Besteht die Gegenleistung in Anteilen an dem übernehmenden Rechtsträger und ist eine Kapitalerhöhung zur Schaffung der Anteile erforderlich, muss der übernehmende Rechtsträger unverzüglich die für die Eintragung der Kapitalerhöhung und ihre Durchführung erforderlichen Handlungen vornehmen.</w:t>
      </w:r>
    </w:p>
    <w:p>
      <w:r>
        <w:t xml:space="preserve">(3) Die Eintragungen sind unverzüglich vorzunehmen. Die Einlegung eines Rechtsbehelfs oder die Erhebung einer Klage gegen die Abwicklungsanordnung, die Kapitalerhöhung oder die Eintragung der Übertragung oder der Kapitalerhöhung beim übernehmenden Rechtsträger stehen der Eintragung nicht entgegen.</w:t>
      </w:r>
    </w:p>
    <w:p>
      <w:r>
        <w:t xml:space="preserve">(4) Unterlässt oder verzögert der übertragende oder der übernehmende Rechtsträger die nach Absatz 1 gebotene Anmeldung zur Eintragung in ein Register, kann die Abwicklungsbehörde die Anmeldung für den Eintragungsverpflichteten vornehmen. In diesem Fall kann die Anmeldung nicht ohne Zustimmung durch die Abwicklungsbehörde zurückgenommen werden.</w:t>
      </w:r>
    </w:p>
    <w:p>
      <w:r>
        <w:rPr>
          <w:color w:val="555555"/>
          <w:sz w:val="17"/>
        </w:rPr>
        <w:t xml:space="preserve">Zitiervorschlag: § 115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