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SAG — Wirksamwerden der Übertragung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Übertragung wird mit der Bekanntgabe der Abwicklungsanordnung nach § 137 wirksam.</w:t>
      </w:r>
    </w:p>
    <w:p>
      <w:r>
        <w:t xml:space="preserve">(2) Mit Wirksamwerden der Übertragung gehen die von der Abwicklungsanordnung erfassten Übertragungsgegenstände auf den übernehmenden Rechtsträger über.</w:t>
      </w:r>
    </w:p>
    <w:p>
      <w:r>
        <w:rPr>
          <w:color w:val="555555"/>
          <w:sz w:val="17"/>
        </w:rPr>
        <w:t xml:space="preserve">Zitiervorschlag: § 114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