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SAG — Wirkungen der Abwicklungsanordnung bei Übertragung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Übertragung nach § 107 vollzieht sich ausschließlich nach Maßgabe dieses Gesetzes in Verbindung mit der nach Maßgabe dieses Gesetzes erlassenen Abwicklungsanordnung; § 36a des Pfandbriefgesetzes bleibt unberührt.</w:t>
      </w:r>
    </w:p>
    <w:p>
      <w:r>
        <w:t xml:space="preserve">(2) Die Abwicklungsanordnung hat folgende Wirkungen:</w:t>
      </w:r>
    </w:p>
    <w:p>
      <w:pPr>
        <w:ind w:left="420"/>
      </w:pPr>
      <w:r>
        <w:t xml:space="preserve">1. in Bezug auf den übertragenden Rechtsträger gelten</w:t>
      </w:r>
    </w:p>
    <w:p>
      <w:pPr>
        <w:ind w:left="780"/>
      </w:pPr>
      <w:r>
        <w:t xml:space="preserve">a) Verfahrensschritte, die nach den allgemeinen Vorschriften einzuhalten oder vertraglich vereinbart sind, insbesondere Beschlüsse einer Haupt-, General- oder Gläubigerversammlung oder anderer Gremien, als ersetzt;</w:t>
      </w:r>
    </w:p>
    <w:p>
      <w:pPr>
        <w:ind w:left="780"/>
      </w:pPr>
      <w:r>
        <w:t xml:space="preserve">b) gesetzlich geforderte oder vertraglich vereinbarte Beteiligungs- und Zustimmungserfordernisse als erfüllt und Übertragungshindernisse als beseitigt; die §§ 118 bis 122 bleiben unberührt;</w:t>
      </w:r>
    </w:p>
    <w:p>
      <w:pPr>
        <w:ind w:left="420"/>
      </w:pPr>
      <w:r>
        <w:t xml:space="preserve">2. in Bezug auf die Übertragung von Übertragungsgegenständen</w:t>
      </w:r>
    </w:p>
    <w:p>
      <w:pPr>
        <w:ind w:left="780"/>
      </w:pPr>
      <w:r>
        <w:t xml:space="preserve">a) sind Register-, Grundbuch- und sonstige Eintragungen oder Umschreibungen für den Rechtsübergang nicht konstitutiv;</w:t>
      </w:r>
    </w:p>
    <w:p>
      <w:pPr>
        <w:ind w:left="780"/>
      </w:pPr>
      <w:r>
        <w:t xml:space="preserve">b) werden Urkunden, insbesondere Globalurkunden, entsprechend umgestaltet; sie können ausgetauscht oder berichtigt werden;</w:t>
      </w:r>
    </w:p>
    <w:p>
      <w:pPr>
        <w:ind w:left="780"/>
      </w:pPr>
      <w:r>
        <w:t xml:space="preserve">c) ist die Einhaltung außerhalb dieses Gesetzes geregelter oder vertraglich vereinbarter Formvorschriften oder sonstiger allgemeiner Vorschriften nicht erforderlich.</w:t>
      </w:r>
    </w:p>
    <w:p>
      <w:r>
        <w:t xml:space="preserve">(3) Die Mitwirkung der Mitglieder der Leitungs- und Aufsichtsorgane bei der Vorbereitung und Durchführung der Übertragung stellt gegenüber dem übertragenden Rechtsträger und seinen Anteilsinhabern keine Pflichtwidrigkeit dar.</w:t>
      </w:r>
    </w:p>
    <w:p>
      <w:r>
        <w:t xml:space="preserve">(4) Anteilsinhaberähnliche Rechte ohne Stimmrecht, Umtauschrechte sowie Instrumente, die auf Anteile referenzieren oder eine Wandlung oder einen Umtausch vorsehen, werden im Zweifel an die durch die Übertragung geschaffene Lage angepasst.</w:t>
      </w:r>
    </w:p>
    <w:p>
      <w:r>
        <w:rPr>
          <w:color w:val="555555"/>
          <w:sz w:val="17"/>
        </w:rPr>
        <w:t xml:space="preserve">Zitiervorschlag: § 113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