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SAG — Drittvergleich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31.03.2026 (konsolidierte Textfassung, kein amtliches Inkrafttretensdatum)</w:t>
      </w:r>
    </w:p>
    <w:p>
      <w:r>
        <w:t xml:space="preserve">(1) Eine Übertragung nach § 107 muss einem Drittvergleich standhalten. Hierbei sind zu berücksichtigen:</w:t>
      </w:r>
    </w:p>
    <w:p>
      <w:pPr>
        <w:ind w:left="420"/>
      </w:pPr>
      <w:r>
        <w:t xml:space="preserve">1. die Umstände des Einzelfalls vor und bei Vorliegen der Abwicklungsvoraussetzungen und vor und bei dem Erlass der Abwicklungsanordnung,</w:t>
      </w:r>
    </w:p>
    <w:p>
      <w:pPr>
        <w:ind w:left="420"/>
      </w:pPr>
      <w:r>
        <w:t xml:space="preserve">2. die Vorschriften des Unionsrechts oder des Abkommens über den Europäischen Wirtschaftsraum für staatliche Beihilfen und</w:t>
      </w:r>
    </w:p>
    <w:p>
      <w:pPr>
        <w:ind w:left="420"/>
      </w:pPr>
      <w:r>
        <w:t xml:space="preserve">3. die Bewertung nach Maßgabe von § 69.</w:t>
      </w:r>
    </w:p>
    <w:p>
      <w:r>
        <w:t xml:space="preserve">(2) Eine Übertragung, für die eine gleichwertige Gegenleistung in das Vermögen des übertragenden Rechtsträgers gelangt, erfüllt die Kriterien des Absatzes 1 Nummer 1 und 3 in jedem Fall und ohne dass es einer weiteren Prüfung bedarf. Eine Gegenleistung oder Ausgleichsverbindlichkeit, die auf der Grundlage von § 111 und, soweit einschlägig, im Rahmen eines Vermarktungsprozesses ermittelt wird, hält einem Drittvergleich im Sinne von Absatz 1 stand.</w:t>
      </w:r>
    </w:p>
    <w:p>
      <w:r>
        <w:rPr>
          <w:color w:val="555555"/>
          <w:sz w:val="17"/>
        </w:rPr>
        <w:t xml:space="preserve">Zitiervorschlag: § 112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