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SAG — Übertragung</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Liegen die Abwicklungsvoraussetzungen gemäß § 62 oder § 64 vor, kann die Abwicklungsbehörde nach Maßgabe der §§ 108 bis 137 in der Abwicklungsanordnung anordnen, dass</w:t>
      </w:r>
    </w:p>
    <w:p>
      <w:pPr>
        <w:ind w:left="420"/>
      </w:pPr>
      <w:r>
        <w:t xml:space="preserve">1. die von einem in Abwicklung befindlichen Institut oder gruppenangehörigen Unternehmen ausgegebenen Anteile oder ein Teil oder die Gesamtheit des Vermögens eines in Abwicklung befindlichen Instituts oder gruppenangehörigen Unternehmens einschließlich seiner Verbindlichkeiten übertragen werden auf</w:t>
      </w:r>
    </w:p>
    <w:p>
      <w:pPr>
        <w:ind w:left="780"/>
      </w:pPr>
      <w:r>
        <w:t xml:space="preserve">a) einen Dritten (Instrument der Unternehmensveräußerung) oder</w:t>
      </w:r>
    </w:p>
    <w:p>
      <w:pPr>
        <w:ind w:left="780"/>
      </w:pPr>
      <w:r>
        <w:t xml:space="preserve">b) ein Brückeninstitut (Instrument der Übertragung auf ein Brückeninstitut),</w:t>
      </w:r>
    </w:p>
    <w:p>
      <w:pPr>
        <w:ind w:left="420"/>
      </w:pPr>
      <w:r>
        <w:t xml:space="preserve">2. ein Teil oder die Gesamtheit des Vermögens eines in Abwicklung befindlichen Instituts oder gruppenangehörigen Unternehmens einschließlich seiner Verbindlichkeiten auf eine Vermögensverwaltungsgesellschaft übertragen wird (Instrument der Übertragung auf eine Vermögensverwaltungsgesellschaft).</w:t>
      </w:r>
    </w:p>
    <w:p>
      <w:r>
        <w:t xml:space="preserve">(2) Übertragungsgegenstände sind die übertragenen Anteile, Vermögenswerte, Verbindlichkeiten und Rechtsverhältnisse.</w:t>
      </w:r>
    </w:p>
    <w:p>
      <w:r>
        <w:t xml:space="preserve">(3) Anteilsinhaber und Gläubiger des übertragenden Rechtsträgers sowie sonstige Dritte, deren Vermögenswerte, Verbindlichkeiten oder Rechtsverhältnisse nicht nach dieser Vorschrift übertragen werden, haben keinerlei Rechte in Bezug auf die Übertragungsgegenstände. Ein Anspruch auf Übertragung besteht nicht.</w:t>
      </w:r>
    </w:p>
    <w:p>
      <w:r>
        <w:rPr>
          <w:color w:val="555555"/>
          <w:sz w:val="17"/>
        </w:rPr>
        <w:t xml:space="preserve">Zitiervorschlag: § 107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https://recht.nulegal.eu/gesetze/SAG/107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