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SAG — Zulassung zum Handel und Einbeziehung in den Handel von neu ausgegebenen Wertpapieren</w:t>
      </w:r>
    </w:p>
    <w:p>
      <w:r>
        <w:rPr>
          <w:color w:val="555555"/>
          <w:sz w:val="18"/>
        </w:rPr>
        <w:t xml:space="preserve">Sanierungs- und Abwicklungsgesetz</w:t>
      </w:r>
    </w:p>
    <w:p>
      <w:r>
        <w:rPr>
          <w:color w:val="555555"/>
          <w:sz w:val="18"/>
        </w:rPr>
        <w:t xml:space="preserve">Stand: 14.03.2026 (konsolidierte Textfassung, kein amtliches Inkrafttretensdatum)</w:t>
      </w:r>
    </w:p>
    <w:p>
      <w:r>
        <w:t xml:space="preserve">(1) Wertpapiere, die zum Zweck der Anwendung des Instruments der Beteiligung der Inhaber relevanter Kapitalinstrumente oder des Instruments der Gläubigerbeteiligung emittiert worden sind, sind an jeder inländischen Börse zum Handel im regulierten Markt zugelassen, wenn Wertpapiere dieser Art bereits vor Anwendung des Instruments der Beteiligung der Inhaber relevanter Kapitalinstrumente oder des Instruments der Gläubigerbeteiligung an einer inländischen Börse zum Handel im regulierten Markt zugelassen waren.</w:t>
      </w:r>
    </w:p>
    <w:p>
      <w:r>
        <w:t xml:space="preserve">(2) Die Abwicklungsbehörde teilt der Geschäftsführung der jeweiligen Börse die Merkmale des einzuführenden Wertpapiers gemäß Absatz 1 Satz 1 mit. Die Regelungen der jeweiligen Börsenordnungen über die Einführung nach § 38 Absatz 1 des Börsengesetzes sind auf die Mitteilung entsprechend anzuwenden.</w:t>
      </w:r>
    </w:p>
    <w:p>
      <w:r>
        <w:t xml:space="preserve">(3) Die Börse nimmt am dritten Börsentag, der auf die Mitteilung gemäß Absatz 2 folgt, die Notierung des Wertpapiers auf (Einführung).</w:t>
      </w:r>
    </w:p>
    <w:p>
      <w:r>
        <w:t xml:space="preserve">(4) § 38 Absatz 2 bis 4 des Börsengesetzes gilt nicht für die Fälle dieses Paragraphen.</w:t>
      </w:r>
    </w:p>
    <w:p>
      <w:r>
        <w:t xml:space="preserve">(5) Die Folgepflichten der Einführung sind durch das Institut oder gruppenangehörige Unternehmen zu erfüllen.</w:t>
      </w:r>
    </w:p>
    <w:p>
      <w:r>
        <w:rPr>
          <w:color w:val="555555"/>
          <w:sz w:val="17"/>
        </w:rPr>
        <w:t xml:space="preserve">Zitiervorschlag: § 106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