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SAG — Umsetzung des Restrukturierungsplans; spätere Überarbeitungen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Geschäftsleitung des Instituts oder gruppenangehörigen Unternehmens oder die als Sonderverwalter gemäß § 87 bestellte Person setzt den genehmigten Restrukturierungsplan um und erstattet der Abwicklungsbehörde mindestens alle sechs Monate über die Fortschritte bei der Umsetzung Bericht.</w:t>
      </w:r>
    </w:p>
    <w:p>
      <w:r>
        <w:t xml:space="preserve">(2) Auf Anforderung der Abwicklungsbehörde hat die Geschäftsleitung des Instituts oder gruppenangehörigen Unternehmens oder die als Sonderverwalter gemäß § 87 bestellte Person den Plan zu überarbeiten, falls dies nach Ansicht der Abwicklungsbehörde im Benehmen mit der Aufsichtsbehörde zur Erreichung des in § 104 Absatz 1 genannten Ziels erforderlich ist, und der Abwicklungsbehörde zur Genehmigung vorzulegen. Absatz 1 gilt für die Umsetzung des geänderten Plans entsprechend.</w:t>
      </w:r>
    </w:p>
    <w:p>
      <w:r>
        <w:rPr>
          <w:color w:val="555555"/>
          <w:sz w:val="17"/>
        </w:rPr>
        <w:t xml:space="preserve">Zitiervorschlag: § 105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