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103 SAG — Anforderungen an den Restrukturierungsplan</w:t>
      </w:r>
    </w:p>
    <w:p>
      <w:r>
        <w:rPr>
          <w:color w:val="555555"/>
          <w:sz w:val="18"/>
        </w:rPr>
        <w:t xml:space="preserve">Sanierungs- und Abwicklungsgesetz</w:t>
      </w:r>
    </w:p>
    <w:p>
      <w:r>
        <w:rPr>
          <w:color w:val="555555"/>
          <w:sz w:val="18"/>
        </w:rPr>
        <w:t xml:space="preserve">Stand: 31.03.2026 (konsolidierte Textfassung, kein amtliches Inkrafttretensdatum)</w:t>
      </w:r>
    </w:p>
    <w:p>
      <w:r>
        <w:t xml:space="preserve">(1) Im Restrukturierungsplan ist festzulegen, wie innerhalb eines angemessenen Zeitrahmens die vollständige oder teilweise Fortführung der Geschäftstätigkeit des Instituts oder des gruppenangehörigen Unternehmens sichergestellt werden kann. Der Restrukturierungsplan berücksichtigt unter anderem die aktuelle Lage und die künftigen Aussichten auf den Finanzmärkten und enthält Annahmen für den besten wie für den schlechtesten Fall. Dabei sind auch Kombinationen von Ereignissen zu berücksichtigen, anhand derer institutsspezifische Gefährdungspotenziale identifiziert werden können. Die im Restrukturierungsplan enthaltenen Maßnahmen sollen auf realistischen Annahmen hinsichtlich der Wirtschafts- und Finanzmarktbedingungen, unter denen das Institut oder gruppenangehörige Unternehmen tätig sein wird, beruhen. Annahmen, die in dem Restrukturierungsplan getroffen wurden, sind mit sektorweiten Referenzwerten zu vergleichen.</w:t>
      </w:r>
    </w:p>
    <w:p>
      <w:r>
        <w:t xml:space="preserve">(2) Der Restrukturierungsplan hat mindestens die folgenden Bestandteile zu enthalten:</w:t>
      </w:r>
    </w:p>
    <w:p>
      <w:pPr>
        <w:ind w:left="420"/>
      </w:pPr>
      <w:r>
        <w:t xml:space="preserve">1. eine detaillierte Analyse der Ursachen und Umstände, auf Grund derer die Bestandsgefährdung des Instituts oder des gruppenangehörigen Unternehmens eingetreten ist,</w:t>
      </w:r>
    </w:p>
    <w:p>
      <w:pPr>
        <w:ind w:left="420"/>
      </w:pPr>
      <w:r>
        <w:t xml:space="preserve">2. eine Beschreibung der zu treffenden Maßnahmen, die die finanzielle Solidität und Überlebensfähigkeit des Instituts oder gruppenangehörigen Unternehmens wiederherstellen sollen, einschließlich der Folgen der Maßnahmen für die Arbeitnehmer und</w:t>
      </w:r>
    </w:p>
    <w:p>
      <w:pPr>
        <w:ind w:left="420"/>
      </w:pPr>
      <w:r>
        <w:t xml:space="preserve">3. einen Zeitplan für die Umsetzung dieser Maßnahmen.</w:t>
      </w:r>
    </w:p>
    <w:p>
      <w:r>
        <w:t xml:space="preserve">(3) In Bezug auf das Institut oder gruppenangehörige Unternehmen können insbesondere folgende Maßnahmen, die die finanzielle Solidität und Überlebensfähigkeit des Instituts oder gruppenangehörigen Unternehmens wiederherstellen sollen, getroffen werden:</w:t>
      </w:r>
    </w:p>
    <w:p>
      <w:pPr>
        <w:ind w:left="420"/>
      </w:pPr>
      <w:r>
        <w:t xml:space="preserve">1. die Restrukturierung von Geschäftsaktivitäten;</w:t>
      </w:r>
    </w:p>
    <w:p>
      <w:pPr>
        <w:ind w:left="420"/>
      </w:pPr>
      <w:r>
        <w:t xml:space="preserve">2. Änderungen der operativen Systeme und der Institutsinfrastruktur;</w:t>
      </w:r>
    </w:p>
    <w:p>
      <w:pPr>
        <w:ind w:left="420"/>
      </w:pPr>
      <w:r>
        <w:t xml:space="preserve">3. die Aufgabe von verlustbringenden Geschäftsaktivitäten;</w:t>
      </w:r>
    </w:p>
    <w:p>
      <w:pPr>
        <w:ind w:left="420"/>
      </w:pPr>
      <w:r>
        <w:t xml:space="preserve">4. die Umstrukturierung bestehender Geschäftsaktivitäten, um deren Wettbewerbsfähigkeit wiederherzustellen;</w:t>
      </w:r>
    </w:p>
    <w:p>
      <w:pPr>
        <w:ind w:left="420"/>
      </w:pPr>
      <w:r>
        <w:t xml:space="preserve">5. die Veräußerung von Vermögenswerten oder Geschäftsbereichen.</w:t>
      </w:r>
    </w:p>
    <w:p>
      <w:r>
        <w:t xml:space="preserve">(4) Sind die Vorschriften der Europäischen Union oder des Abkommens über den Europäischen Wirtschaftsraum für staatliche Beihilfen anwendbar, so muss der Restrukturierungsplan mit dem Umstrukturierungsplan, den das Institut oder gruppenangehörige Unternehmen der Kommission oder gegebenenfalls der EFTA-Überwachungsbehörde gemäß den Vorschriften des Unionsrechts oder des Abkommens über den Europäischen Wirtschaftsraum für staatliche Beihilfen vorlegen muss, vereinbar sein.</w:t>
      </w:r>
    </w:p>
    <w:p>
      <w:r>
        <w:rPr>
          <w:color w:val="555555"/>
          <w:sz w:val="17"/>
        </w:rPr>
        <w:t xml:space="preserve">Zitiervorschlag: § 103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