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SAG — Abwicklungsbefugnisse bei Anwendung des Instruments der Beteiligung der Inhaber relevanter Kapitalinstrumente und des Instruments der Gläubigerbeteiligung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28.12.2020 (konsolidierte Textfassung, kein amtliches Inkrafttretensdatum)</w:t>
      </w:r>
    </w:p>
    <w:p>
      <w:r>
        <w:t xml:space="preserve">Bei Anwendung des Instruments der Beteiligung der Inhaber relevanter Kapitalinstrumente und des Instruments der Gläubigerbeteiligung kann die Abwicklungsbehörde nach Maßgabe von § 96 Absatz 1 und 2 und § 97 alle erforderlichen Anordnungen treffen. Die Abwicklungsbehörde kann insbesondere</w:t>
      </w:r>
    </w:p>
    <w:p>
      <w:pPr>
        <w:ind w:left="420"/>
      </w:pPr>
      <w:r>
        <w:t xml:space="preserve">1. Anteile oder andere Instrumente des harten Kernkapitals einziehen oder löschen;</w:t>
      </w:r>
    </w:p>
    <w:p>
      <w:pPr>
        <w:ind w:left="420"/>
      </w:pPr>
      <w:r>
        <w:t xml:space="preserve">2. Anteile oder andere Instrumente des harten Kernkapitals auf Gläubiger übertragen;</w:t>
      </w:r>
    </w:p>
    <w:p>
      <w:pPr>
        <w:ind w:left="420"/>
      </w:pPr>
      <w:r>
        <w:t xml:space="preserve">3. den Nennwert oder den noch ausstehenden Restbetrag von relevanten Kapitalinstrumenten des Instituts oder gruppenangehörigen Unternehmens herabschreiben;</w:t>
      </w:r>
    </w:p>
    <w:p>
      <w:pPr>
        <w:ind w:left="420"/>
      </w:pPr>
      <w:r>
        <w:t xml:space="preserve">4. den Nennwert oder den noch ausstehenden Restbetrag von berücksichtigungsfähigen Verbindlichkeiten nach § 65 Absatz 4 und bail-in-fähigen Verbindlichkeiten des Instituts oder gruppenangehörigen Unternehmens herabschreiben;</w:t>
      </w:r>
    </w:p>
    <w:p>
      <w:pPr>
        <w:ind w:left="420"/>
      </w:pPr>
      <w:r>
        <w:t xml:space="preserve">5. relevante Kapitalinstrumente in Anteile oder andere Instrumente des harten Kernkapitals umwandeln;</w:t>
      </w:r>
    </w:p>
    <w:p>
      <w:pPr>
        <w:ind w:left="420"/>
      </w:pPr>
      <w:r>
        <w:t xml:space="preserve">6. berücksichtigungsfähige Verbindlichkeiten nach § 65 Absatz 4 und bail-in-fähige Verbindlichkeiten in Anteile oder andere Instrumente des harten Kernkapitals umwandeln;</w:t>
      </w:r>
    </w:p>
    <w:p>
      <w:pPr>
        <w:ind w:left="420"/>
      </w:pPr>
      <w:r>
        <w:t xml:space="preserve">7. Kapital des Instituts oder gruppenangehörigen Unternehmens herabsetzen;</w:t>
      </w:r>
    </w:p>
    <w:p>
      <w:pPr>
        <w:ind w:left="420"/>
      </w:pPr>
      <w:r>
        <w:t xml:space="preserve">8. Kapital des Instituts oder gruppenangehörigen Unternehmens erhöhen, auch unter Ausschluss von Bezugsrechten und gegen Sacheinlagen.</w:t>
      </w:r>
    </w:p>
    <w:p>
      <w:r>
        <w:rPr>
          <w:color w:val="555555"/>
          <w:sz w:val="17"/>
        </w:rPr>
        <w:t xml:space="preserve">Zitiervorschlag: § 101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