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SAG — Sonstige Vorschriften</w:t>
      </w:r>
    </w:p>
    <w:p>
      <w:r>
        <w:rPr>
          <w:color w:val="555555"/>
          <w:sz w:val="18"/>
        </w:rPr>
        <w:t xml:space="preserve">Sanierungs- und Abwicklungsgesetz</w:t>
      </w:r>
    </w:p>
    <w:p>
      <w:r>
        <w:rPr>
          <w:color w:val="555555"/>
          <w:sz w:val="18"/>
        </w:rPr>
        <w:t xml:space="preserve">Stand: 28.12.2020 (konsolidierte Textfassung, kein amtliches Inkrafttretensdatum)</w:t>
      </w:r>
    </w:p>
    <w:p>
      <w:r>
        <w:t xml:space="preserve">(1) Hinsichtlich der Weitergabe von Informationen für die Zwecke von Straf- oder Zivilverfahren gelten die Regelungen des § 9 des Kreditwesengesetzes entsprechend.</w:t>
      </w:r>
    </w:p>
    <w:p>
      <w:r>
        <w:t xml:space="preserve">(2) Hinsichtlich einer Inanspruchnahme eines Beschäftigten einer im Rahmen dieses Gesetzes tätigen national zuständigen Behörde, die auf der Verletzung der Verschwiegenheit im Sinne dieses Gesetzes beruht, gelten die Regelungen des § 181.</w:t>
      </w:r>
    </w:p>
    <w:p>
      <w:r>
        <w:rPr>
          <w:color w:val="555555"/>
          <w:sz w:val="17"/>
        </w:rPr>
        <w:t xml:space="preserve">Zitiervorschlag: § 10 SAG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