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SAG — Anwendungsbereich; Verhältnis zur SRM-Verordnung; Umsetzung von Beschlüssen des Ausschusses</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Dieses Gesetz gilt für folgende Unternehmen, soweit nicht die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ABl. L 101 vom 18.4.2015, S. 62), die zuletzt durch die Verordnung (EU) 2021/23 des Europäischen Parlaments und des Rates vom 16. Dezember 2020 über einen Rahmen für die Sanierung und Abwicklung zentraler Gegenparteien und zur Änderung der Verordnungen (EU) Nr. 1095/2010, (EU) Nr. 648/2012, (EU) Nr. 600/2014, (EU) Nr. 806/2014 und (EU) 2015/2365 sowie der Richtlinien 2002/47/EG, 2004/25/EG, 2007/36/EG, 2014/59/EU und (EU) 2017/1132 (ABl. L 22 vom 22.1.2021, S. 1) geändert worden ist, maßgeblich ist:</w:t>
      </w:r>
    </w:p>
    <w:p>
      <w:pPr>
        <w:ind w:left="420"/>
      </w:pPr>
      <w:r>
        <w:t xml:space="preserve">1. CRR-Kreditinstitute im Sinne des § 1 Absatz 3d Satz 1 des Kreditwesengesetzes mit Ausnahme der Unternehmen im Sinne von Artikel 2 Absatz 5 Nummer 5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L 208 vom 2.8.2013, S. 73; L 20 vom 25.1.2017, S. 1; L 203 vom 26.6.2020, S. 95), die zuletzt durch die Richtlinie (EU) 2021/338 des Europäischen Parlaments und des Rates vom 16. Februar 2021 zur Änderung der Richtlinie 2014/65/EU im Hinblick auf die Informationspflichten, die Produktüberwachung und die Positionslimits sowie der Richtlinien 2013/36/EU und (EU) 2019/878 im Hinblick auf ihre Anwendung auf Wertpapierfirmen, zur Förderung der wirtschaftlichen Erholung von der COVID-19-Krise (ABl. L 68 vom 26.2.2021, S. 14) geändert worden ist,</w:t>
      </w:r>
    </w:p>
    <w:p>
      <w:pPr>
        <w:ind w:left="420"/>
      </w:pPr>
      <w:r>
        <w:t xml:space="preserve">2. Wertpapierinstitute im Sinne des § 2 Absatz 1 des Wertpapierinstitutsgesetzes, die gemäß § 17 Absatz 1 Nummer 1 Buchstabe a des Wertpapierinstitutsgesetzes mit einem Anfangskapital im Gegenwert von mindestens 750 000 Euro auszustatten sind,</w:t>
      </w:r>
    </w:p>
    <w:p>
      <w:pPr>
        <w:ind w:left="420"/>
      </w:pPr>
      <w:r>
        <w:t xml:space="preserve">3. übergeordnete Unternehmen einer Institutsgruppe, einer Finanzholding-Gruppe oder einer gemischten Finanzholding-Gruppe gemäß § 10a Absatz 1 und 2 des Kreditwesengesetzes und deren nachgeordnete Unternehmen gemäß § 10a Absatz 1 und 2 des Kreditwesengesetzes mit Sitz im Inland mit Ausnahme der Unternehmen im Sinne von Artikel 2 Absatz 5 Nummer 5 der Richtlinie 2013/36/EU und</w:t>
      </w:r>
    </w:p>
    <w:p>
      <w:pPr>
        <w:ind w:left="420"/>
      </w:pPr>
      <w:r>
        <w:t xml:space="preserve">4. inländische Unionszweigstellen.</w:t>
      </w:r>
    </w:p>
    <w:p>
      <w:r>
        <w:t xml:space="preserve">Für inländische Unternehmen, die gemäß Artikel 14 der Verordnung (EU) Nr. 648/2012 des Europäischen Parlaments und des Rates vom 4. Juli 2012 über OTC-Derivate, zentrale Gegenparteien und Transaktionsregister (ABl. L 201 vom 27.7.2012, S. 1; L 321 vom 30.11.2013, S. 6), die zuletzt durch die Verordnung (EU) 2019/2099 (ABl. L 322 vom 12.12.2019, S. 1) geändert worden ist, zugelassen sind, gilt ausschließlich Teil 5 dieses Gesetzes.</w:t>
      </w:r>
    </w:p>
    <w:p>
      <w:r>
        <w:t xml:space="preserve">(2) Die Abwicklungsbehörde setzt gemäß Artikel 29 der Verordnung (EU) 806/2014 an sie gerichtete Beschlüsse des Ausschusses, die der Ausschuss im Rahmen seiner Zuständigkeit gemäß Artikel 7 Absatz 2, Absatz 4 Buchstabe b und Absatz 5 der Verordnung (EU) 806/2014 fasst, sowie Weisungen und Mitteilungen des Ausschusses nach der Verordnung (EU) 806/2014 unter Anwendung der ihr nach nationalem Recht zustehenden Befugnisse um. Dabei hat sie Feststellungen und Vorgaben der Beschlüsse sowie die Mitteilungen des Ausschusses zugrunde zu legen. Die Notwendigkeit der Zustimmung des Bundesministeriums der Finanzen nach § 140 Absatz 1 Satz 2 bleibt hiervon unberührt.</w:t>
      </w:r>
    </w:p>
    <w:p>
      <w:r>
        <w:t xml:space="preserve">(3) Die Abwicklungsbehörde beachtet bei Ausführung ihrer Aufgaben die nach der Verordnung (EU) Nr. 806/2014 ergangenen Leitlinien und allgemeinen Anweisungen des Ausschusses.</w:t>
      </w:r>
    </w:p>
    <w:p>
      <w:r>
        <w:t xml:space="preserve">(4) Die Abwicklungsbehörde und die Aufsichtsbehörde berücksichtigen Empfehlungen des Ausschusses bei ihren Entscheidungen.</w:t>
      </w:r>
    </w:p>
    <w:p>
      <w:r>
        <w:t xml:space="preserve">(5) Soweit die Vorschriften dieses Gesetzes neben der Verordnung (EU) Nr. 806/2014 anwendbar sind, gelten Verweise auf Vorschriften als Verweise auf die entsprechenden Vorschriften und Begriffe der Verordnung (EU) Nr. 806/2014, und werden Begriffe in dem Sinne der Verordnung (EU) Nr. 806/2014 definiert.</w:t>
      </w:r>
    </w:p>
    <w:p>
      <w:r>
        <w:t xml:space="preserve">(6) Die Aufsichtsbehörde und die Abwicklungsbehörde arbeiten für die Zwecke dieses Gesetzes gemäß der Verordnung (EU) Nr. 1093/2010 in der Fassung vom 8. Oktober 2025 mit der Europäischen Bankenaufsichtsbehörde und gegebenenfalls mit der EFTA-Überwachungsbehörde zusammen. Verweise in diesem Gesetz auf die Befugnisse der Europäischen Bankenaufsichtsbehörde nach Artikel 19 der Verordnung (EU) Nr. 1093/2010 gelten für die Aufsichts- oder Abwicklungsbehörden der EFTA-Staaten nach Artikel 2 Buchstabe b des Abkommens über den Europäischen Wirtschaftsraum als Verweise auf die Befugnisse der EFTA-Überwachungsbehörde.</w:t>
      </w:r>
    </w:p>
    <w:p>
      <w:r>
        <w:rPr>
          <w:color w:val="555555"/>
          <w:sz w:val="17"/>
        </w:rPr>
        <w:t xml:space="preserve">Zitiervorschlag: § 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