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SAFleischWiG — Evaluation</w:t>
      </w:r>
    </w:p>
    <w:p>
      <w:r>
        <w:rPr>
          <w:color w:val="555555"/>
          <w:sz w:val="18"/>
        </w:rPr>
        <w:t xml:space="preserve">Gesetz zur Sicherung von Arbeitnehmerrechten in der Fleischwirtschaft</w:t>
      </w:r>
    </w:p>
    <w:p>
      <w:r>
        <w:rPr>
          <w:color w:val="555555"/>
          <w:sz w:val="18"/>
        </w:rPr>
        <w:t xml:space="preserve">Stand: 01.01.2021 (konsolidierte Textfassung, kein amtliches Inkrafttretensdatum)</w:t>
      </w:r>
    </w:p>
    <w:p>
      <w:r>
        <w:t xml:space="preserve">Das Bundesministerium für Arbeit und Soziales wird die Regelung zur Einschränkung des Einsatzes von Fremdpersonal in der Fleischwirtschaft einschließlich der Einschränkung des Anwendungsbereichs der Regelung für das Fleischerhandwerk im Jahr 2023 evaluieren.</w:t>
      </w:r>
    </w:p>
    <w:p>
      <w:r>
        <w:rPr>
          <w:color w:val="555555"/>
          <w:sz w:val="17"/>
        </w:rPr>
        <w:t xml:space="preserve">Zitiervorschlag: § 8 SAFleischWiG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https://recht.nulegal.eu/gesetze/SAFleischWiG/8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