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SAFleischWiG — Haftung für Sozialversicherungsbeiträge</w:t>
      </w:r>
    </w:p>
    <w:p>
      <w:r>
        <w:rPr>
          <w:color w:val="555555"/>
          <w:sz w:val="18"/>
        </w:rPr>
        <w:t xml:space="preserve">Gesetz zur Sicherung von Arbeitnehmerrechten in der Fleischwirtschaft</w:t>
      </w:r>
    </w:p>
    <w:p>
      <w:r>
        <w:rPr>
          <w:color w:val="555555"/>
          <w:sz w:val="18"/>
        </w:rPr>
        <w:t xml:space="preserve">Stand: 30.07.2020 (konsolidierte Textfassung, kein amtliches Inkrafttretensdatum)</w:t>
      </w:r>
    </w:p>
    <w:p>
      <w:r>
        <w:t xml:space="preserve">(1) § 28e Absatz 3a, Absatz 3b Satz 1, Absatz 3c Satz 1, Absatz 3e, Absatz 3f Satz 1 und 2 und Absatz 4 des Vierten Buches Sozialgesetzbuch gilt für Unternehmer der Fleischwirtschaft, die andere Unternehmer mit Tätigkeiten des Schlachtens oder der Fleischverarbeitung im Sinne des § 6 Absatz 9 Satz 2 bis 4 des Arbeitnehmer-Entsendegesetzes beauftragen, mit der Maßgabe entsprechend, dass der Nachweis entsprechend § 28e Absatz 3b Satz 1 des Vierten Buches Sozialgesetzbuch ausschließlich durch eine Unbedenklichkeitsbescheinigung der zuständigen Einzugsstelle für den Nachunternehmer oder den von diesem beauftragten Verleiher entsprechend § 28e Absatz 3f Satz 1 und 2 des Vierten Buches Sozialgesetzbuch erbracht werden kann.</w:t>
      </w:r>
    </w:p>
    <w:p>
      <w:r>
        <w:t xml:space="preserve">(2) § 150 Absatz 3 des Siebten Buches Sozialgesetzbuch gilt, soweit er die entsprechende Geltung von in Absatz 1 genannten Vorschriften des Vierten Buches Sozialgesetzbuch anordnet, entsprechend für Unternehmer der Fleischwirtschaft.</w:t>
      </w:r>
    </w:p>
    <w:p>
      <w:r>
        <w:rPr>
          <w:color w:val="555555"/>
          <w:sz w:val="17"/>
        </w:rPr>
        <w:t xml:space="preserve">Zitiervorschlag: § 3 SAFleischWiG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https://recht.nulegal.eu/gesetze/SAFleischWiG/3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