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SAFleischWiG — Zielsetzung</w:t>
      </w:r>
    </w:p>
    <w:p>
      <w:r>
        <w:rPr>
          <w:color w:val="555555"/>
          <w:sz w:val="18"/>
        </w:rPr>
        <w:t xml:space="preserve">Gesetz zur Sicherung von Arbeitnehmerrechten in der Fleischwirtschaft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Ziele des Gesetzes sind die Sicherung von Rechten und Ansprüchen der Arbeitnehmerinnen und Arbeitnehmer, der Arbeits- und Gesundheitsschutz sowie die Verhinderung von Umgehungen der Pflicht zur Zahlung von Sozialversicherungsbeiträgen durch die Beauftragung von Nachunternehmern in der Fleischwirtschaft.</w:t>
      </w:r>
    </w:p>
    <w:p>
      <w:r>
        <w:rPr>
          <w:color w:val="555555"/>
          <w:sz w:val="17"/>
        </w:rPr>
        <w:t xml:space="preserve">Zitiervorschlag: § 1 SAFleischWiG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https://recht.nulegal.eu/gesetze/SAFleischWiG/1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