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SABErstV (Bayern) — Inkrafttreten</w:t>
      </w:r>
    </w:p>
    <w:p>
      <w:r>
        <w:rPr>
          <w:color w:val="555555"/>
          <w:sz w:val="18"/>
        </w:rPr>
        <w:t xml:space="preserve">Straßenausbaubeitrags-Erstattungsverordnung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2019 in Kraft.</w:t>
      </w:r>
    </w:p>
    <w:p>
      <w:r>
        <w:rPr>
          <w:color w:val="555555"/>
          <w:sz w:val="17"/>
        </w:rPr>
        <w:t xml:space="preserve">Zitiervorschlag: § 4 SABErstV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https://recht.nulegal.eu/gesetze/SABErstV/4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